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Batang"/>
          <w:b/>
          <w:bCs/>
          <w:sz w:val="28"/>
          <w:szCs w:val="24"/>
          <w:highlight w:val="none"/>
        </w:rPr>
      </w:pPr>
      <w:r>
        <w:rPr>
          <w:rFonts w:eastAsia="Batang"/>
          <w:b/>
          <w:bCs/>
          <w:sz w:val="28"/>
          <w:szCs w:val="24"/>
          <w:highlight w:val="none"/>
        </w:rPr>
        <w:t>3GPP TSG RAN WG1 #114bis</w:t>
      </w:r>
      <w:r>
        <w:rPr>
          <w:rFonts w:eastAsia="Batang"/>
          <w:b/>
          <w:bCs/>
          <w:sz w:val="28"/>
          <w:szCs w:val="24"/>
          <w:highlight w:val="none"/>
        </w:rPr>
        <w:tab/>
      </w:r>
      <w:r>
        <w:rPr>
          <w:rFonts w:eastAsia="Batang"/>
          <w:b/>
          <w:bCs/>
          <w:sz w:val="28"/>
          <w:szCs w:val="24"/>
          <w:highlight w:val="none"/>
        </w:rPr>
        <w:tab/>
      </w:r>
      <w:r>
        <w:rPr>
          <w:rFonts w:eastAsia="Batang"/>
          <w:b/>
          <w:bCs/>
          <w:sz w:val="28"/>
          <w:szCs w:val="24"/>
          <w:highlight w:val="none"/>
        </w:rPr>
        <w:tab/>
      </w:r>
      <w:r>
        <w:rPr>
          <w:rFonts w:eastAsia="Batang"/>
          <w:b/>
          <w:bCs/>
          <w:sz w:val="28"/>
          <w:szCs w:val="24"/>
          <w:highlight w:val="none"/>
        </w:rPr>
        <w:tab/>
      </w:r>
      <w:r>
        <w:rPr>
          <w:rFonts w:eastAsia="Batang"/>
          <w:b/>
          <w:bCs/>
          <w:sz w:val="28"/>
          <w:szCs w:val="24"/>
          <w:highlight w:val="none"/>
        </w:rPr>
        <w:tab/>
      </w:r>
      <w:r>
        <w:rPr>
          <w:rFonts w:eastAsia="Batang"/>
          <w:b/>
          <w:bCs/>
          <w:sz w:val="28"/>
          <w:szCs w:val="24"/>
          <w:highlight w:val="none"/>
        </w:rPr>
        <w:tab/>
      </w:r>
      <w:r>
        <w:rPr>
          <w:rFonts w:eastAsia="Batang"/>
          <w:b/>
          <w:bCs/>
          <w:sz w:val="28"/>
          <w:szCs w:val="24"/>
          <w:highlight w:val="none"/>
        </w:rPr>
        <w:t xml:space="preserve"> </w:t>
      </w:r>
      <w:r>
        <w:rPr>
          <w:rFonts w:hint="eastAsia" w:eastAsia="Batang"/>
          <w:b/>
          <w:bCs/>
          <w:sz w:val="28"/>
          <w:szCs w:val="24"/>
          <w:highlight w:val="none"/>
        </w:rPr>
        <w:t>R1-2309658</w:t>
      </w:r>
    </w:p>
    <w:p>
      <w:pPr>
        <w:rPr>
          <w:rFonts w:eastAsia="Batang"/>
          <w:b/>
          <w:bCs/>
          <w:sz w:val="28"/>
          <w:szCs w:val="24"/>
        </w:rPr>
      </w:pPr>
      <w:r>
        <w:rPr>
          <w:rFonts w:eastAsia="Batang"/>
          <w:b/>
          <w:bCs/>
          <w:sz w:val="28"/>
          <w:szCs w:val="24"/>
        </w:rPr>
        <w:t>Xiamen, China, October 9th – October 13th, 2023</w:t>
      </w:r>
    </w:p>
    <w:p/>
    <w:p>
      <w:pPr>
        <w:spacing w:after="60"/>
        <w:ind w:left="1985" w:hanging="1985"/>
        <w:rPr>
          <w:bCs/>
        </w:rPr>
      </w:pPr>
      <w:r>
        <w:rPr>
          <w:b/>
        </w:rPr>
        <w:t>Agenda item:</w:t>
      </w:r>
      <w:r>
        <w:rPr>
          <w:b/>
        </w:rPr>
        <w:tab/>
      </w:r>
      <w:r>
        <w:rPr>
          <w:bCs/>
        </w:rPr>
        <w:t>5</w:t>
      </w:r>
    </w:p>
    <w:p>
      <w:pPr>
        <w:spacing w:after="60"/>
        <w:ind w:left="1985" w:hanging="1985"/>
        <w:rPr>
          <w:bCs/>
        </w:rPr>
      </w:pPr>
      <w:r>
        <w:rPr>
          <w:b/>
        </w:rPr>
        <w:t>Title:</w:t>
      </w:r>
      <w:r>
        <w:rPr>
          <w:b/>
        </w:rPr>
        <w:tab/>
      </w:r>
      <w:r>
        <w:rPr>
          <w:bCs/>
        </w:rPr>
        <w:t>Discussion on RAN2 LS on data collection</w:t>
      </w:r>
    </w:p>
    <w:p>
      <w:pPr>
        <w:spacing w:after="60"/>
        <w:ind w:left="1985" w:hanging="1985"/>
        <w:rPr>
          <w:bCs/>
        </w:rPr>
      </w:pPr>
      <w:r>
        <w:rPr>
          <w:b/>
        </w:rPr>
        <w:t>Source:</w:t>
      </w:r>
      <w:r>
        <w:rPr>
          <w:bCs/>
        </w:rPr>
        <w:tab/>
      </w:r>
      <w:r>
        <w:rPr>
          <w:bCs/>
        </w:rPr>
        <w:t>CMCC</w:t>
      </w:r>
    </w:p>
    <w:p>
      <w:pPr>
        <w:spacing w:after="60"/>
        <w:ind w:left="1985" w:hanging="1985"/>
        <w:rPr>
          <w:bCs/>
        </w:rPr>
      </w:pPr>
      <w:r>
        <w:rPr>
          <w:b/>
        </w:rPr>
        <w:t>Document for:</w:t>
      </w:r>
      <w:r>
        <w:rPr>
          <w:bCs/>
        </w:rPr>
        <w:tab/>
      </w:r>
      <w:r>
        <w:rPr>
          <w:bCs/>
        </w:rPr>
        <w:t>Discussion and Decision</w:t>
      </w:r>
    </w:p>
    <w:p>
      <w:pPr>
        <w:pBdr>
          <w:bottom w:val="single" w:color="auto" w:sz="4" w:space="1"/>
        </w:pBdr>
        <w:rPr>
          <w:rFonts w:ascii="Arial" w:hAnsi="Arial" w:cs="Arial"/>
        </w:rPr>
      </w:pPr>
    </w:p>
    <w:p>
      <w:pPr>
        <w:pStyle w:val="35"/>
        <w:numPr>
          <w:ilvl w:val="0"/>
          <w:numId w:val="7"/>
        </w:numPr>
        <w:spacing w:before="120" w:beforeLines="50" w:line="288" w:lineRule="auto"/>
        <w:ind w:firstLineChars="0"/>
        <w:outlineLvl w:val="0"/>
        <w:rPr>
          <w:rFonts w:ascii="Arial" w:hAnsi="Arial" w:cs="Arial"/>
          <w:b/>
          <w:sz w:val="24"/>
          <w:szCs w:val="24"/>
        </w:rPr>
      </w:pPr>
      <w:r>
        <w:rPr>
          <w:rFonts w:ascii="Arial" w:hAnsi="Arial" w:cs="Arial"/>
          <w:b/>
          <w:sz w:val="24"/>
          <w:szCs w:val="24"/>
        </w:rPr>
        <w:t>Introduction</w:t>
      </w:r>
    </w:p>
    <w:p>
      <w:pPr>
        <w:adjustRightInd w:val="0"/>
        <w:snapToGrid w:val="0"/>
        <w:spacing w:before="120" w:beforeLines="50" w:line="288" w:lineRule="auto"/>
        <w:jc w:val="both"/>
        <w:rPr>
          <w:bCs/>
          <w:iCs/>
        </w:rPr>
      </w:pPr>
      <w:r>
        <w:rPr>
          <w:bCs/>
          <w:iCs/>
        </w:rPr>
        <w:t xml:space="preserve">In RAN2#122 meeting, RAN2 sent an LS to RAN1 regarding data collection requirements and assumptions in Rel-18 AI for Air interface [1]. In In RAN1#114 meeting, RAN1 have discussed the Part A in the LS and replied to RAN2 LS in [2], while the Part B in the LS haven’t been discussed in last meeting. In this contribution, we provide our views on the Part B </w:t>
      </w:r>
      <w:r>
        <w:rPr>
          <w:rFonts w:hint="eastAsia"/>
          <w:bCs/>
          <w:iCs/>
          <w:lang w:val="en-US" w:eastAsia="zh-CN"/>
        </w:rPr>
        <w:t>of</w:t>
      </w:r>
      <w:r>
        <w:rPr>
          <w:bCs/>
          <w:iCs/>
        </w:rPr>
        <w:t xml:space="preserve"> this LS. </w:t>
      </w:r>
    </w:p>
    <w:p>
      <w:pPr>
        <w:pStyle w:val="35"/>
        <w:numPr>
          <w:ilvl w:val="0"/>
          <w:numId w:val="7"/>
        </w:numPr>
        <w:snapToGrid w:val="0"/>
        <w:spacing w:before="120" w:beforeLines="50" w:line="288" w:lineRule="auto"/>
        <w:ind w:firstLineChars="0"/>
        <w:outlineLvl w:val="0"/>
        <w:rPr>
          <w:rFonts w:ascii="Arial" w:hAnsi="Arial" w:cs="Arial"/>
          <w:b/>
          <w:sz w:val="24"/>
          <w:szCs w:val="24"/>
        </w:rPr>
      </w:pPr>
      <w:r>
        <w:rPr>
          <w:rFonts w:hint="eastAsia" w:ascii="Arial" w:hAnsi="Arial" w:cs="Arial"/>
          <w:b/>
          <w:sz w:val="24"/>
          <w:szCs w:val="24"/>
        </w:rPr>
        <w:t>D</w:t>
      </w:r>
      <w:r>
        <w:rPr>
          <w:rFonts w:ascii="Arial" w:hAnsi="Arial" w:cs="Arial"/>
          <w:b/>
          <w:sz w:val="24"/>
          <w:szCs w:val="24"/>
        </w:rPr>
        <w:t>iscussion</w:t>
      </w:r>
    </w:p>
    <w:p>
      <w:pPr>
        <w:snapToGrid w:val="0"/>
        <w:spacing w:before="120" w:beforeLines="50" w:line="288" w:lineRule="auto"/>
        <w:jc w:val="both"/>
        <w:rPr>
          <w:bCs/>
          <w:iCs/>
        </w:rPr>
      </w:pPr>
      <w:r>
        <w:rPr>
          <w:bCs/>
          <w:iCs/>
        </w:rPr>
        <w:t>In this LS, RAN2 identified some aspects that need RAN1 input to facilitate further discussion in RAN2.</w:t>
      </w:r>
    </w:p>
    <w:p>
      <w:pPr>
        <w:pStyle w:val="35"/>
        <w:numPr>
          <w:ilvl w:val="1"/>
          <w:numId w:val="7"/>
        </w:numPr>
        <w:snapToGrid w:val="0"/>
        <w:spacing w:before="120" w:beforeLines="50" w:line="288" w:lineRule="auto"/>
        <w:ind w:firstLineChars="0"/>
        <w:outlineLvl w:val="1"/>
        <w:rPr>
          <w:rFonts w:ascii="Arial" w:hAnsi="Arial" w:cs="Arial"/>
          <w:b/>
          <w:sz w:val="24"/>
          <w:szCs w:val="24"/>
        </w:rPr>
      </w:pPr>
      <w:r>
        <w:rPr>
          <w:rFonts w:ascii="Arial" w:hAnsi="Arial" w:cs="Arial"/>
          <w:b/>
          <w:sz w:val="24"/>
          <w:szCs w:val="24"/>
        </w:rPr>
        <w:t xml:space="preserve">Part B: </w:t>
      </w:r>
      <w:r>
        <w:rPr>
          <w:rFonts w:hint="eastAsia" w:ascii="Arial" w:hAnsi="Arial" w:cs="Arial"/>
          <w:b/>
          <w:sz w:val="24"/>
          <w:szCs w:val="24"/>
        </w:rPr>
        <w:t>D</w:t>
      </w:r>
      <w:r>
        <w:rPr>
          <w:rFonts w:ascii="Arial" w:hAnsi="Arial" w:cs="Arial"/>
          <w:b/>
          <w:sz w:val="24"/>
          <w:szCs w:val="24"/>
        </w:rPr>
        <w:t>iscussion on aspects of data collection that require RAN1 feedback/inputs</w:t>
      </w:r>
    </w:p>
    <w:p>
      <w:pPr>
        <w:spacing w:before="120" w:beforeLines="50" w:line="288" w:lineRule="auto"/>
        <w:jc w:val="both"/>
      </w:pPr>
      <w:r>
        <w:t>In this subsection, we discuss the following essential aspects of data collection per LCM purpose (i.e., model training, inference and monitoring) per LCM sidedness for each (sub) use case:</w:t>
      </w:r>
    </w:p>
    <w:p>
      <w:pPr>
        <w:pStyle w:val="35"/>
        <w:widowControl/>
        <w:numPr>
          <w:ilvl w:val="0"/>
          <w:numId w:val="8"/>
        </w:numPr>
        <w:spacing w:before="120" w:beforeLines="50" w:line="288" w:lineRule="auto"/>
        <w:ind w:left="780" w:firstLineChars="0"/>
        <w:rPr>
          <w:rFonts w:ascii="Times New Roman" w:hAnsi="Times New Roman"/>
          <w:kern w:val="0"/>
          <w:sz w:val="20"/>
          <w:szCs w:val="20"/>
          <w:lang w:val="en-GB" w:eastAsia="en-US"/>
        </w:rPr>
      </w:pPr>
      <w:r>
        <w:rPr>
          <w:rFonts w:ascii="Times New Roman" w:hAnsi="Times New Roman"/>
          <w:kern w:val="0"/>
          <w:sz w:val="20"/>
          <w:szCs w:val="20"/>
          <w:lang w:val="en-GB" w:eastAsia="en-US"/>
        </w:rPr>
        <w:t>Data content</w:t>
      </w:r>
    </w:p>
    <w:p>
      <w:pPr>
        <w:pStyle w:val="35"/>
        <w:widowControl/>
        <w:numPr>
          <w:ilvl w:val="0"/>
          <w:numId w:val="8"/>
        </w:numPr>
        <w:spacing w:before="120" w:beforeLines="50" w:line="288" w:lineRule="auto"/>
        <w:ind w:left="780" w:firstLineChars="0"/>
        <w:rPr>
          <w:rFonts w:ascii="Times New Roman" w:hAnsi="Times New Roman"/>
          <w:kern w:val="0"/>
          <w:sz w:val="20"/>
          <w:szCs w:val="20"/>
          <w:lang w:val="en-GB" w:eastAsia="en-US"/>
        </w:rPr>
      </w:pPr>
      <w:r>
        <w:rPr>
          <w:rFonts w:ascii="Times New Roman" w:hAnsi="Times New Roman"/>
          <w:kern w:val="0"/>
          <w:sz w:val="20"/>
          <w:szCs w:val="20"/>
          <w:lang w:val="en-GB" w:eastAsia="en-US"/>
        </w:rPr>
        <w:t>Typical data size (value or value range) of the identified data content</w:t>
      </w:r>
    </w:p>
    <w:p>
      <w:pPr>
        <w:pStyle w:val="35"/>
        <w:widowControl/>
        <w:numPr>
          <w:ilvl w:val="0"/>
          <w:numId w:val="8"/>
        </w:numPr>
        <w:spacing w:before="120" w:beforeLines="50" w:line="288" w:lineRule="auto"/>
        <w:ind w:left="780" w:firstLineChars="0"/>
        <w:rPr>
          <w:rFonts w:ascii="Times New Roman" w:hAnsi="Times New Roman"/>
          <w:kern w:val="0"/>
          <w:sz w:val="20"/>
          <w:szCs w:val="20"/>
          <w:lang w:val="en-GB" w:eastAsia="en-US"/>
        </w:rPr>
      </w:pPr>
      <w:r>
        <w:rPr>
          <w:rFonts w:ascii="Times New Roman" w:hAnsi="Times New Roman"/>
          <w:kern w:val="0"/>
          <w:sz w:val="20"/>
          <w:szCs w:val="20"/>
          <w:lang w:val="en-GB" w:eastAsia="en-US"/>
        </w:rPr>
        <w:t>Reporting type (e.g., periodic, event triggered, other) of the identified data content</w:t>
      </w:r>
    </w:p>
    <w:p>
      <w:pPr>
        <w:pStyle w:val="35"/>
        <w:widowControl/>
        <w:numPr>
          <w:ilvl w:val="0"/>
          <w:numId w:val="8"/>
        </w:numPr>
        <w:spacing w:before="120" w:beforeLines="50" w:line="288" w:lineRule="auto"/>
        <w:ind w:left="780" w:firstLineChars="0"/>
        <w:rPr>
          <w:rFonts w:ascii="Times New Roman" w:hAnsi="Times New Roman"/>
          <w:kern w:val="0"/>
          <w:sz w:val="20"/>
          <w:szCs w:val="20"/>
          <w:lang w:val="en-GB" w:eastAsia="en-US"/>
        </w:rPr>
      </w:pPr>
      <w:r>
        <w:rPr>
          <w:rFonts w:ascii="Times New Roman" w:hAnsi="Times New Roman"/>
          <w:kern w:val="0"/>
          <w:sz w:val="20"/>
          <w:szCs w:val="20"/>
          <w:lang w:val="en-GB" w:eastAsia="en-US"/>
        </w:rPr>
        <w:t>Typical latency requirement (value or value range) to transfer the identified data content</w:t>
      </w:r>
    </w:p>
    <w:p>
      <w:pPr>
        <w:pStyle w:val="35"/>
        <w:widowControl/>
        <w:ind w:left="780" w:firstLine="0" w:firstLineChars="0"/>
        <w:rPr>
          <w:rFonts w:ascii="Times New Roman" w:hAnsi="Times New Roman"/>
          <w:sz w:val="20"/>
          <w:szCs w:val="20"/>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line="312" w:lineRule="auto"/>
              <w:rPr>
                <w:rFonts w:hint="default" w:ascii="Times New Roman" w:hAnsi="Times New Roman" w:cs="Times New Roman"/>
                <w:lang w:eastAsia="zh-CN"/>
              </w:rPr>
            </w:pPr>
            <w:r>
              <w:rPr>
                <w:rFonts w:hint="default" w:ascii="Times New Roman" w:hAnsi="Times New Roman" w:cs="Times New Roman"/>
                <w:lang w:eastAsia="zh-CN"/>
              </w:rPr>
              <w:t>To facilitate the discussion on data collection in RAN2 for further progress, RAN2 would like RAN1 to provide feedback/inputs on the following essential aspects:</w:t>
            </w:r>
          </w:p>
          <w:p>
            <w:pPr>
              <w:pStyle w:val="35"/>
              <w:widowControl/>
              <w:numPr>
                <w:ilvl w:val="0"/>
                <w:numId w:val="8"/>
              </w:numPr>
              <w:spacing w:line="312" w:lineRule="auto"/>
              <w:ind w:left="780" w:firstLineChars="0"/>
              <w:jc w:val="left"/>
              <w:rPr>
                <w:rFonts w:hint="default" w:ascii="Times New Roman" w:hAnsi="Times New Roman" w:cs="Times New Roman"/>
                <w:sz w:val="20"/>
              </w:rPr>
            </w:pPr>
            <w:r>
              <w:rPr>
                <w:rFonts w:hint="default" w:ascii="Times New Roman" w:hAnsi="Times New Roman" w:cs="Times New Roman"/>
                <w:sz w:val="20"/>
              </w:rPr>
              <w:t>Data content</w:t>
            </w:r>
          </w:p>
          <w:p>
            <w:pPr>
              <w:pStyle w:val="35"/>
              <w:widowControl/>
              <w:numPr>
                <w:ilvl w:val="0"/>
                <w:numId w:val="8"/>
              </w:numPr>
              <w:spacing w:line="312" w:lineRule="auto"/>
              <w:ind w:left="780" w:firstLineChars="0"/>
              <w:jc w:val="left"/>
              <w:rPr>
                <w:rFonts w:hint="default" w:ascii="Times New Roman" w:hAnsi="Times New Roman" w:cs="Times New Roman"/>
                <w:sz w:val="20"/>
                <w:szCs w:val="20"/>
              </w:rPr>
            </w:pPr>
            <w:r>
              <w:rPr>
                <w:rFonts w:hint="default" w:ascii="Times New Roman" w:hAnsi="Times New Roman" w:cs="Times New Roman"/>
                <w:sz w:val="20"/>
                <w:szCs w:val="20"/>
              </w:rPr>
              <w:t>Typical data size (value or value range) of the identified data content</w:t>
            </w:r>
          </w:p>
          <w:p>
            <w:pPr>
              <w:pStyle w:val="35"/>
              <w:widowControl/>
              <w:numPr>
                <w:ilvl w:val="0"/>
                <w:numId w:val="8"/>
              </w:numPr>
              <w:spacing w:line="312" w:lineRule="auto"/>
              <w:ind w:left="780" w:firstLineChars="0"/>
              <w:jc w:val="left"/>
              <w:rPr>
                <w:rFonts w:hint="default" w:ascii="Times New Roman" w:hAnsi="Times New Roman" w:cs="Times New Roman"/>
                <w:sz w:val="20"/>
              </w:rPr>
            </w:pPr>
            <w:r>
              <w:rPr>
                <w:rFonts w:hint="default" w:ascii="Times New Roman" w:hAnsi="Times New Roman" w:cs="Times New Roman"/>
                <w:sz w:val="20"/>
              </w:rPr>
              <w:t>Reporting type (e.g., periodic, event triggered, other) of the identified data content</w:t>
            </w:r>
          </w:p>
          <w:p>
            <w:pPr>
              <w:pStyle w:val="35"/>
              <w:widowControl/>
              <w:numPr>
                <w:ilvl w:val="0"/>
                <w:numId w:val="8"/>
              </w:numPr>
              <w:spacing w:line="312" w:lineRule="auto"/>
              <w:ind w:left="780" w:firstLineChars="0"/>
              <w:jc w:val="left"/>
              <w:rPr>
                <w:rFonts w:hint="default" w:ascii="Times New Roman" w:hAnsi="Times New Roman" w:cs="Times New Roman"/>
                <w:sz w:val="20"/>
              </w:rPr>
            </w:pPr>
            <w:r>
              <w:rPr>
                <w:rFonts w:hint="default" w:ascii="Times New Roman" w:hAnsi="Times New Roman" w:cs="Times New Roman"/>
                <w:sz w:val="20"/>
              </w:rPr>
              <w:t>Typical latency requirement (value or value range) to transfer the identified data content</w:t>
            </w:r>
          </w:p>
          <w:p>
            <w:pPr>
              <w:spacing w:before="120" w:after="120" w:line="312" w:lineRule="auto"/>
              <w:rPr>
                <w:rFonts w:ascii="Arial" w:hAnsi="Arial" w:cs="Arial"/>
                <w:lang w:eastAsia="zh-CN"/>
              </w:rPr>
            </w:pPr>
            <w:r>
              <w:rPr>
                <w:rFonts w:hint="default" w:ascii="Times New Roman" w:hAnsi="Times New Roman" w:cs="Times New Roman"/>
              </w:rPr>
              <w:t>RAN2</w:t>
            </w:r>
            <w:r>
              <w:rPr>
                <w:rFonts w:hint="default" w:ascii="Times New Roman" w:hAnsi="Times New Roman" w:cs="Times New Roman"/>
                <w:lang w:eastAsia="zh-CN"/>
              </w:rPr>
              <w:t xml:space="preserve"> would require RAN1 feedback/inputs on the data collection requirements per LCM purpose </w:t>
            </w:r>
            <w:r>
              <w:rPr>
                <w:rFonts w:hint="default" w:ascii="Times New Roman" w:hAnsi="Times New Roman" w:cs="Times New Roman"/>
                <w:kern w:val="2"/>
                <w:lang w:val="en-US" w:eastAsia="zh-CN"/>
              </w:rPr>
              <w:t>(i.e., model training, inference and monitoring)</w:t>
            </w:r>
            <w:r>
              <w:rPr>
                <w:rFonts w:hint="default" w:ascii="Times New Roman" w:hAnsi="Times New Roman" w:cs="Times New Roman"/>
                <w:lang w:eastAsia="zh-CN"/>
              </w:rPr>
              <w:t xml:space="preserve"> for each (sub)use case, and the LCM sidedness should also be considered. Besides, RAN2 would also like to know to what extent the data would / should be specified (in detail).</w:t>
            </w:r>
          </w:p>
        </w:tc>
      </w:tr>
    </w:tbl>
    <w:p>
      <w:pPr>
        <w:pStyle w:val="35"/>
        <w:numPr>
          <w:ilvl w:val="2"/>
          <w:numId w:val="7"/>
        </w:numPr>
        <w:snapToGrid w:val="0"/>
        <w:spacing w:before="120" w:beforeLines="50" w:line="288" w:lineRule="auto"/>
        <w:ind w:firstLineChars="0"/>
        <w:outlineLvl w:val="2"/>
        <w:rPr>
          <w:rFonts w:ascii="Arial" w:hAnsi="Arial" w:cs="Arial"/>
          <w:b/>
          <w:sz w:val="24"/>
          <w:szCs w:val="24"/>
        </w:rPr>
      </w:pPr>
      <w:r>
        <w:rPr>
          <w:rFonts w:ascii="Arial" w:hAnsi="Arial" w:cs="Arial"/>
          <w:b/>
          <w:sz w:val="24"/>
          <w:szCs w:val="24"/>
        </w:rPr>
        <w:t>CSI enhancement</w:t>
      </w:r>
    </w:p>
    <w:p>
      <w:pPr>
        <w:spacing w:before="120" w:beforeLines="50" w:line="288" w:lineRule="auto"/>
      </w:pPr>
      <w:r>
        <w:t>In previous meetings, we have the following agreements related with data collection for CSI enhancement: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before="120" w:beforeLines="50" w:after="120" w:afterLines="50" w:line="288" w:lineRule="auto"/>
              <w:jc w:val="both"/>
              <w:textAlignment w:val="baseline"/>
              <w:rPr>
                <w:color w:val="000000"/>
                <w:highlight w:val="green"/>
                <w:lang w:val="en-US" w:eastAsia="zh-CN"/>
              </w:rPr>
            </w:pPr>
            <w:r>
              <w:rPr>
                <w:color w:val="000000"/>
                <w:highlight w:val="green"/>
                <w:lang w:val="en-US" w:eastAsia="zh-CN"/>
              </w:rPr>
              <w:t>Agreement</w:t>
            </w:r>
          </w:p>
          <w:p>
            <w:pPr>
              <w:numPr>
                <w:ilvl w:val="0"/>
                <w:numId w:val="9"/>
              </w:numPr>
              <w:rPr>
                <w:rFonts w:eastAsia="Malgun Gothic"/>
                <w:i/>
                <w:iCs/>
                <w:lang w:val="en-US" w:eastAsia="zh-CN"/>
              </w:rPr>
            </w:pPr>
            <w:r>
              <w:rPr>
                <w:rFonts w:eastAsia="Malgun Gothic"/>
                <w:i/>
                <w:iCs/>
                <w:lang w:val="en-US" w:eastAsia="zh-CN"/>
              </w:rPr>
              <w:t xml:space="preserve">In CSI compression using two-sided model use case, further study the necessity, feasibility, and potential specification impact of UE side data collection enhancement including at least  </w:t>
            </w:r>
          </w:p>
          <w:p>
            <w:pPr>
              <w:numPr>
                <w:ilvl w:val="0"/>
                <w:numId w:val="10"/>
              </w:numPr>
              <w:overflowPunct w:val="0"/>
              <w:autoSpaceDE w:val="0"/>
              <w:autoSpaceDN w:val="0"/>
              <w:adjustRightInd w:val="0"/>
              <w:spacing w:line="259" w:lineRule="auto"/>
              <w:textAlignment w:val="baseline"/>
              <w:rPr>
                <w:rFonts w:eastAsia="Malgun Gothic"/>
                <w:i/>
                <w:iCs/>
                <w:lang w:val="en-US" w:eastAsia="zh-CN"/>
              </w:rPr>
            </w:pPr>
            <w:r>
              <w:rPr>
                <w:rFonts w:eastAsia="Malgun Gothic"/>
                <w:i/>
                <w:iCs/>
                <w:lang w:val="en-US" w:eastAsia="zh-CN"/>
              </w:rPr>
              <w:t>Enhancement of CSI-RS configuration to enable higher accuracy measurement.</w:t>
            </w:r>
          </w:p>
          <w:p>
            <w:pPr>
              <w:numPr>
                <w:ilvl w:val="0"/>
                <w:numId w:val="10"/>
              </w:numPr>
              <w:overflowPunct w:val="0"/>
              <w:autoSpaceDE w:val="0"/>
              <w:autoSpaceDN w:val="0"/>
              <w:adjustRightInd w:val="0"/>
              <w:spacing w:line="259" w:lineRule="auto"/>
              <w:textAlignment w:val="baseline"/>
              <w:rPr>
                <w:rFonts w:eastAsia="Malgun Gothic"/>
                <w:i/>
                <w:iCs/>
                <w:lang w:val="en-US" w:eastAsia="zh-CN"/>
              </w:rPr>
            </w:pPr>
            <w:r>
              <w:rPr>
                <w:i/>
                <w:iCs/>
                <w:lang w:eastAsia="zh-CN"/>
              </w:rPr>
              <w:t>Assistance information for UE data collection for categorizing the data in forms of ID for the purpose of differentiating characteristics of data due to specific configuration, scenarios, site etc.</w:t>
            </w:r>
          </w:p>
          <w:p>
            <w:pPr>
              <w:numPr>
                <w:ilvl w:val="1"/>
                <w:numId w:val="10"/>
              </w:numPr>
              <w:overflowPunct w:val="0"/>
              <w:autoSpaceDE w:val="0"/>
              <w:autoSpaceDN w:val="0"/>
              <w:adjustRightInd w:val="0"/>
              <w:spacing w:line="259" w:lineRule="auto"/>
              <w:jc w:val="both"/>
              <w:textAlignment w:val="baseline"/>
              <w:rPr>
                <w:i/>
                <w:iCs/>
                <w:lang w:eastAsia="zh-CN"/>
              </w:rPr>
            </w:pPr>
            <w:r>
              <w:rPr>
                <w:i/>
                <w:iCs/>
                <w:lang w:eastAsia="zh-CN"/>
              </w:rPr>
              <w:t>The provision of assistance information needs to consider feasibility of disclosing proprietary information to the other side.</w:t>
            </w:r>
          </w:p>
          <w:p>
            <w:pPr>
              <w:numPr>
                <w:ilvl w:val="0"/>
                <w:numId w:val="10"/>
              </w:numPr>
              <w:overflowPunct w:val="0"/>
              <w:autoSpaceDE w:val="0"/>
              <w:autoSpaceDN w:val="0"/>
              <w:adjustRightInd w:val="0"/>
              <w:spacing w:line="259" w:lineRule="auto"/>
              <w:textAlignment w:val="baseline"/>
              <w:rPr>
                <w:rFonts w:eastAsia="Times New Roman"/>
                <w:i/>
                <w:iCs/>
                <w:lang w:val="en-US" w:eastAsia="zh-CN"/>
              </w:rPr>
            </w:pPr>
            <w:r>
              <w:rPr>
                <w:rFonts w:eastAsia="Times New Roman"/>
                <w:i/>
                <w:iCs/>
                <w:lang w:val="en-US" w:eastAsia="zh-CN"/>
              </w:rPr>
              <w:t>Signaling for triggering the data collection</w:t>
            </w:r>
          </w:p>
          <w:p>
            <w:pPr>
              <w:numPr>
                <w:ilvl w:val="0"/>
                <w:numId w:val="11"/>
              </w:numPr>
              <w:rPr>
                <w:i/>
                <w:iCs/>
              </w:rPr>
            </w:pPr>
            <w:r>
              <w:rPr>
                <w:rFonts w:eastAsia="Malgun Gothic"/>
                <w:i/>
                <w:iCs/>
                <w:lang w:val="en-US" w:eastAsia="zh-CN"/>
              </w:rPr>
              <w:t xml:space="preserve">In CSI compression using two-sided model use case, further discuss the necessity, feasibility, and potential specification impact for NW side data collection including at least:  </w:t>
            </w:r>
            <w:r>
              <w:rPr>
                <w:i/>
                <w:iCs/>
              </w:rPr>
              <w:t xml:space="preserve"> </w:t>
            </w:r>
          </w:p>
          <w:p>
            <w:pPr>
              <w:numPr>
                <w:ilvl w:val="0"/>
                <w:numId w:val="10"/>
              </w:numPr>
              <w:overflowPunct w:val="0"/>
              <w:autoSpaceDE w:val="0"/>
              <w:autoSpaceDN w:val="0"/>
              <w:adjustRightInd w:val="0"/>
              <w:spacing w:line="259" w:lineRule="auto"/>
              <w:textAlignment w:val="baseline"/>
              <w:rPr>
                <w:rFonts w:eastAsia="Malgun Gothic"/>
                <w:i/>
                <w:iCs/>
                <w:lang w:val="en-US" w:eastAsia="zh-CN"/>
              </w:rPr>
            </w:pPr>
            <w:r>
              <w:rPr>
                <w:rFonts w:eastAsia="Malgun Gothic"/>
                <w:i/>
                <w:iCs/>
                <w:lang w:val="en-US" w:eastAsia="zh-CN"/>
              </w:rPr>
              <w:t xml:space="preserve">Enhancement of SRS and/or CSI-RS measurement and/or CSI reporting to enable higher accuracy measurement. </w:t>
            </w:r>
          </w:p>
          <w:p>
            <w:pPr>
              <w:numPr>
                <w:ilvl w:val="0"/>
                <w:numId w:val="10"/>
              </w:numPr>
              <w:overflowPunct w:val="0"/>
              <w:autoSpaceDE w:val="0"/>
              <w:autoSpaceDN w:val="0"/>
              <w:adjustRightInd w:val="0"/>
              <w:spacing w:line="259" w:lineRule="auto"/>
              <w:ind w:hanging="357"/>
              <w:textAlignment w:val="baseline"/>
              <w:rPr>
                <w:rFonts w:eastAsia="Malgun Gothic"/>
                <w:i/>
                <w:iCs/>
                <w:lang w:val="en-US" w:eastAsia="zh-CN"/>
              </w:rPr>
            </w:pPr>
            <w:r>
              <w:rPr>
                <w:rFonts w:eastAsia="Malgun Gothic"/>
                <w:i/>
                <w:iCs/>
                <w:lang w:val="en-US" w:eastAsia="zh-CN"/>
              </w:rPr>
              <w:t xml:space="preserve">Contents of the ground-truth CSI including: </w:t>
            </w:r>
            <w:r>
              <w:rPr>
                <w:lang w:eastAsia="zh-CN"/>
              </w:rPr>
              <w:t xml:space="preserve"> </w:t>
            </w:r>
          </w:p>
          <w:p>
            <w:pPr>
              <w:numPr>
                <w:ilvl w:val="1"/>
                <w:numId w:val="10"/>
              </w:numPr>
              <w:overflowPunct w:val="0"/>
              <w:autoSpaceDE w:val="0"/>
              <w:autoSpaceDN w:val="0"/>
              <w:adjustRightInd w:val="0"/>
              <w:spacing w:line="259" w:lineRule="auto"/>
              <w:ind w:hanging="357"/>
              <w:textAlignment w:val="baseline"/>
              <w:rPr>
                <w:rFonts w:eastAsia="Malgun Gothic"/>
                <w:i/>
                <w:iCs/>
                <w:lang w:val="en-US" w:eastAsia="zh-CN"/>
              </w:rPr>
            </w:pPr>
            <w:r>
              <w:rPr>
                <w:rFonts w:eastAsia="Malgun Gothic"/>
                <w:i/>
                <w:iCs/>
                <w:lang w:val="en-US" w:eastAsia="zh-CN"/>
              </w:rPr>
              <w:t xml:space="preserve">Data sample type, e.g., </w:t>
            </w:r>
            <w:r>
              <w:rPr>
                <w:rFonts w:eastAsia="宋体"/>
                <w:i/>
                <w:iCs/>
                <w:lang w:val="en-US" w:eastAsia="zh-CN"/>
              </w:rPr>
              <w:t>precoding matrix</w:t>
            </w:r>
            <w:r>
              <w:rPr>
                <w:rFonts w:eastAsia="Malgun Gothic"/>
                <w:i/>
                <w:iCs/>
                <w:lang w:val="en-US" w:eastAsia="zh-CN"/>
              </w:rPr>
              <w:t>, channel matrix etc.</w:t>
            </w:r>
          </w:p>
          <w:p>
            <w:pPr>
              <w:numPr>
                <w:ilvl w:val="1"/>
                <w:numId w:val="10"/>
              </w:numPr>
              <w:overflowPunct w:val="0"/>
              <w:autoSpaceDE w:val="0"/>
              <w:autoSpaceDN w:val="0"/>
              <w:adjustRightInd w:val="0"/>
              <w:spacing w:line="259" w:lineRule="auto"/>
              <w:ind w:hanging="357"/>
              <w:textAlignment w:val="baseline"/>
              <w:rPr>
                <w:rFonts w:eastAsia="Malgun Gothic"/>
                <w:i/>
                <w:iCs/>
                <w:lang w:val="en-US" w:eastAsia="zh-CN"/>
              </w:rPr>
            </w:pPr>
            <w:r>
              <w:rPr>
                <w:rFonts w:eastAsia="Malgun Gothic"/>
                <w:i/>
                <w:iCs/>
                <w:lang w:val="en-US" w:eastAsia="zh-CN"/>
              </w:rPr>
              <w:t xml:space="preserve">Data sample format: scaler quantization and/or codebook-based quantization (e.g., e-type II like). </w:t>
            </w:r>
          </w:p>
          <w:p>
            <w:pPr>
              <w:numPr>
                <w:ilvl w:val="1"/>
                <w:numId w:val="10"/>
              </w:numPr>
              <w:overflowPunct w:val="0"/>
              <w:autoSpaceDE w:val="0"/>
              <w:autoSpaceDN w:val="0"/>
              <w:adjustRightInd w:val="0"/>
              <w:spacing w:line="259" w:lineRule="auto"/>
              <w:ind w:hanging="357"/>
              <w:textAlignment w:val="baseline"/>
              <w:rPr>
                <w:rFonts w:eastAsia="Malgun Gothic"/>
                <w:i/>
                <w:iCs/>
                <w:lang w:val="en-US" w:eastAsia="zh-CN"/>
              </w:rPr>
            </w:pPr>
            <w:r>
              <w:rPr>
                <w:rFonts w:eastAsia="Malgun Gothic"/>
                <w:i/>
                <w:iCs/>
                <w:lang w:val="en-US" w:eastAsia="zh-CN"/>
              </w:rPr>
              <w:t>Assistance information (e.g., time stamps, and/or cell ID,</w:t>
            </w:r>
            <w:r>
              <w:rPr>
                <w:i/>
                <w:iCs/>
                <w:lang w:eastAsia="zh-CN"/>
              </w:rPr>
              <w:t xml:space="preserve"> Assistance information for Network data collection for categorizing the data in forms of ID for</w:t>
            </w:r>
            <w:r>
              <w:rPr>
                <w:rFonts w:eastAsia="Malgun Gothic"/>
                <w:i/>
                <w:iCs/>
                <w:lang w:val="en-US" w:eastAsia="zh-CN"/>
              </w:rPr>
              <w:t xml:space="preserve"> </w:t>
            </w:r>
            <w:r>
              <w:rPr>
                <w:i/>
                <w:iCs/>
                <w:lang w:eastAsia="zh-CN"/>
              </w:rPr>
              <w:t>the purpose of differentiating characteristics of data due to specific configuration, scenarios, site etc.</w:t>
            </w:r>
            <w:r>
              <w:rPr>
                <w:rFonts w:eastAsia="宋体"/>
                <w:i/>
                <w:iCs/>
                <w:lang w:val="en-US" w:eastAsia="zh-CN"/>
              </w:rPr>
              <w:t>, and data quality indicator</w:t>
            </w:r>
            <w:r>
              <w:rPr>
                <w:rFonts w:eastAsia="Malgun Gothic"/>
                <w:i/>
                <w:iCs/>
                <w:lang w:val="en-US" w:eastAsia="zh-CN"/>
              </w:rPr>
              <w:t>)</w:t>
            </w:r>
          </w:p>
          <w:p>
            <w:pPr>
              <w:numPr>
                <w:ilvl w:val="0"/>
                <w:numId w:val="10"/>
              </w:numPr>
              <w:overflowPunct w:val="0"/>
              <w:autoSpaceDE w:val="0"/>
              <w:autoSpaceDN w:val="0"/>
              <w:adjustRightInd w:val="0"/>
              <w:spacing w:line="288" w:lineRule="auto"/>
              <w:ind w:hanging="357"/>
              <w:jc w:val="both"/>
              <w:textAlignment w:val="baseline"/>
              <w:rPr>
                <w:rFonts w:eastAsia="Malgun Gothic"/>
                <w:i/>
                <w:iCs/>
                <w:color w:val="000000"/>
                <w:lang w:eastAsia="zh-CN"/>
              </w:rPr>
            </w:pPr>
            <w:r>
              <w:rPr>
                <w:rFonts w:eastAsia="Malgun Gothic"/>
                <w:i/>
                <w:iCs/>
                <w:color w:val="000000"/>
                <w:lang w:val="en-US" w:eastAsia="zh-CN"/>
              </w:rPr>
              <w:t>Latency requirement for data collection</w:t>
            </w:r>
          </w:p>
          <w:p>
            <w:pPr>
              <w:numPr>
                <w:ilvl w:val="0"/>
                <w:numId w:val="10"/>
              </w:numPr>
              <w:overflowPunct w:val="0"/>
              <w:autoSpaceDE w:val="0"/>
              <w:autoSpaceDN w:val="0"/>
              <w:adjustRightInd w:val="0"/>
              <w:spacing w:line="288" w:lineRule="auto"/>
              <w:ind w:hanging="357"/>
              <w:jc w:val="both"/>
              <w:textAlignment w:val="baseline"/>
              <w:rPr>
                <w:rFonts w:eastAsia="Malgun Gothic"/>
                <w:i/>
                <w:iCs/>
                <w:color w:val="000000"/>
                <w:lang w:eastAsia="zh-CN"/>
              </w:rPr>
            </w:pPr>
            <w:r>
              <w:rPr>
                <w:rFonts w:eastAsia="Times New Roman"/>
                <w:i/>
                <w:iCs/>
                <w:color w:val="000000"/>
                <w:lang w:val="en-US" w:eastAsia="zh-CN"/>
              </w:rPr>
              <w:t>Signaling for triggering the data collection</w:t>
            </w:r>
          </w:p>
          <w:p>
            <w:pPr>
              <w:spacing w:before="120" w:beforeLines="50" w:line="288" w:lineRule="auto"/>
            </w:pPr>
          </w:p>
          <w:p>
            <w:pPr>
              <w:spacing w:after="120"/>
              <w:jc w:val="both"/>
              <w:rPr>
                <w:rFonts w:eastAsia="MS Mincho"/>
                <w:highlight w:val="green"/>
                <w:lang w:val="en-US" w:eastAsia="zh-CN"/>
              </w:rPr>
            </w:pPr>
            <w:r>
              <w:rPr>
                <w:rFonts w:eastAsia="MS Mincho"/>
                <w:highlight w:val="green"/>
                <w:lang w:val="en-US" w:eastAsia="zh-CN"/>
              </w:rPr>
              <w:t>Agreement</w:t>
            </w:r>
          </w:p>
          <w:p>
            <w:r>
              <w:t>In CSI compression using two-sided model use case, further study the necessity and potential specification impact of the following aspects related to the ground truth CSI format for NW side data collection for model training:   </w:t>
            </w:r>
          </w:p>
          <w:p>
            <w:pPr>
              <w:ind w:left="420" w:hanging="420"/>
              <w:textAlignment w:val="baseline"/>
            </w:pPr>
            <w:r>
              <w:t>        Scalar quantization for ground-truth CSI</w:t>
            </w:r>
          </w:p>
          <w:p>
            <w:pPr>
              <w:ind w:left="630" w:leftChars="135" w:hanging="360"/>
              <w:textAlignment w:val="baseline"/>
            </w:pPr>
            <w:r>
              <w:t>       FFS: any processing applied to the ground-truth CSI before scalar quantization, based on evaluation results in 9.2.2.1</w:t>
            </w:r>
          </w:p>
          <w:p>
            <w:pPr>
              <w:ind w:left="420" w:hanging="420"/>
              <w:textAlignment w:val="baseline"/>
            </w:pPr>
            <w:r>
              <w:t>        Codebook-based quantization for ground-truth CSI</w:t>
            </w:r>
          </w:p>
          <w:p>
            <w:pPr>
              <w:ind w:left="630" w:leftChars="135" w:hanging="360"/>
            </w:pPr>
            <w:r>
              <w:t>       FFS: Parameter set enhancement of existing eType II codebook, based on evaluation results in 9.2.2.1</w:t>
            </w:r>
          </w:p>
          <w:p>
            <w:pPr>
              <w:numPr>
                <w:ilvl w:val="0"/>
                <w:numId w:val="12"/>
              </w:numPr>
              <w:overflowPunct w:val="0"/>
              <w:autoSpaceDE w:val="0"/>
              <w:autoSpaceDN w:val="0"/>
              <w:adjustRightInd w:val="0"/>
              <w:snapToGrid w:val="0"/>
              <w:textAlignment w:val="baseline"/>
              <w:rPr>
                <w:rFonts w:eastAsia="Calibri"/>
              </w:rPr>
            </w:pPr>
            <w:r>
              <w:rPr>
                <w:rFonts w:eastAsia="Malgun Gothic"/>
                <w:lang w:eastAsia="zh-CN"/>
              </w:rPr>
              <w:t>Number of layers for which the ground truth data is collected. And whether UE or NW determine the number of layers</w:t>
            </w:r>
            <w:r>
              <w:rPr>
                <w:rFonts w:eastAsia="Calibri"/>
              </w:rPr>
              <w:t xml:space="preserve"> </w:t>
            </w:r>
            <w:r>
              <w:rPr>
                <w:rFonts w:eastAsia="Malgun Gothic"/>
                <w:lang w:eastAsia="zh-CN"/>
              </w:rPr>
              <w:t>for ground-truth CSI data collection.</w:t>
            </w:r>
          </w:p>
          <w:p>
            <w:pPr>
              <w:rPr>
                <w:rFonts w:ascii="Arial" w:hAnsi="Arial" w:cs="Arial"/>
                <w:b/>
              </w:rPr>
            </w:pPr>
          </w:p>
          <w:p>
            <w:pPr>
              <w:rPr>
                <w:highlight w:val="green"/>
                <w:lang w:eastAsia="zh-CN"/>
              </w:rPr>
            </w:pPr>
            <w:r>
              <w:rPr>
                <w:rFonts w:hint="eastAsia"/>
                <w:highlight w:val="green"/>
                <w:lang w:eastAsia="zh-CN"/>
              </w:rPr>
              <w:t>A</w:t>
            </w:r>
            <w:r>
              <w:rPr>
                <w:highlight w:val="green"/>
                <w:lang w:eastAsia="zh-CN"/>
              </w:rPr>
              <w:t>greement</w:t>
            </w:r>
          </w:p>
          <w:p>
            <w:pPr>
              <w:rPr>
                <w:rFonts w:eastAsia="Malgun Gothic"/>
                <w:color w:val="000000"/>
              </w:rPr>
            </w:pPr>
            <w:r>
              <w:rPr>
                <w:rFonts w:eastAsia="Malgun Gothic"/>
                <w:color w:val="000000"/>
              </w:rPr>
              <w:t xml:space="preserve">In CSI compression using two-sided model use case, further study </w:t>
            </w:r>
            <w:r>
              <w:rPr>
                <w:rFonts w:eastAsia="Yu Mincho"/>
                <w:color w:val="000000"/>
                <w:lang w:eastAsia="ja-JP"/>
              </w:rPr>
              <w:t>the necessity, complexity, overhead, latency</w:t>
            </w:r>
            <w:r>
              <w:rPr>
                <w:rFonts w:eastAsia="Yu Mincho"/>
                <w:color w:val="FF0000"/>
                <w:lang w:eastAsia="ja-JP"/>
              </w:rPr>
              <w:t xml:space="preserve"> </w:t>
            </w:r>
            <w:r>
              <w:rPr>
                <w:rFonts w:eastAsia="Yu Mincho"/>
                <w:color w:val="000000"/>
                <w:lang w:eastAsia="ja-JP"/>
              </w:rPr>
              <w:t>and</w:t>
            </w:r>
            <w:r>
              <w:rPr>
                <w:rFonts w:eastAsia="Malgun Gothic"/>
                <w:color w:val="000000"/>
              </w:rPr>
              <w:t xml:space="preserve"> potential specification impact on ground truth CSI report for NW side data collection for model performance monitoring, including:   </w:t>
            </w:r>
          </w:p>
          <w:p>
            <w:pPr>
              <w:numPr>
                <w:ilvl w:val="0"/>
                <w:numId w:val="13"/>
              </w:numPr>
              <w:overflowPunct w:val="0"/>
              <w:autoSpaceDE w:val="0"/>
              <w:autoSpaceDN w:val="0"/>
              <w:adjustRightInd w:val="0"/>
              <w:contextualSpacing/>
              <w:textAlignment w:val="baseline"/>
              <w:rPr>
                <w:rFonts w:eastAsia="Malgun Gothic"/>
                <w:color w:val="000000"/>
              </w:rPr>
            </w:pPr>
            <w:r>
              <w:rPr>
                <w:rFonts w:eastAsia="Malgun Gothic"/>
                <w:color w:val="000000"/>
              </w:rPr>
              <w:t xml:space="preserve">Scalar quantization </w:t>
            </w:r>
            <w:r>
              <w:rPr>
                <w:rFonts w:hint="eastAsia" w:eastAsia="宋体"/>
                <w:color w:val="000000"/>
              </w:rPr>
              <w:t>for ground-truth CSI</w:t>
            </w:r>
          </w:p>
          <w:p>
            <w:pPr>
              <w:numPr>
                <w:ilvl w:val="1"/>
                <w:numId w:val="14"/>
              </w:numPr>
              <w:overflowPunct w:val="0"/>
              <w:autoSpaceDE w:val="0"/>
              <w:autoSpaceDN w:val="0"/>
              <w:adjustRightInd w:val="0"/>
              <w:contextualSpacing/>
              <w:textAlignment w:val="baseline"/>
              <w:rPr>
                <w:rFonts w:eastAsia="宋体"/>
                <w:color w:val="000000"/>
              </w:rPr>
            </w:pPr>
            <w:r>
              <w:rPr>
                <w:rFonts w:eastAsia="宋体"/>
                <w:color w:val="000000"/>
              </w:rPr>
              <w:t>FFS: any processing applied to the ground-truth CSI before scalar</w:t>
            </w:r>
            <w:r>
              <w:rPr>
                <w:rFonts w:eastAsia="Malgun Gothic"/>
                <w:color w:val="000000"/>
              </w:rPr>
              <w:t xml:space="preserve"> quantization</w:t>
            </w:r>
          </w:p>
          <w:p>
            <w:pPr>
              <w:numPr>
                <w:ilvl w:val="0"/>
                <w:numId w:val="13"/>
              </w:numPr>
              <w:overflowPunct w:val="0"/>
              <w:autoSpaceDE w:val="0"/>
              <w:autoSpaceDN w:val="0"/>
              <w:adjustRightInd w:val="0"/>
              <w:contextualSpacing/>
              <w:textAlignment w:val="baseline"/>
              <w:rPr>
                <w:rFonts w:eastAsia="Malgun Gothic"/>
                <w:color w:val="000000"/>
              </w:rPr>
            </w:pPr>
            <w:r>
              <w:rPr>
                <w:rFonts w:eastAsia="Malgun Gothic"/>
                <w:color w:val="000000"/>
              </w:rPr>
              <w:t xml:space="preserve">Codebook-based quantization </w:t>
            </w:r>
            <w:r>
              <w:rPr>
                <w:rFonts w:hint="eastAsia" w:eastAsia="宋体"/>
                <w:color w:val="000000"/>
              </w:rPr>
              <w:t>for ground-truth CSI</w:t>
            </w:r>
          </w:p>
          <w:p>
            <w:pPr>
              <w:numPr>
                <w:ilvl w:val="1"/>
                <w:numId w:val="14"/>
              </w:numPr>
              <w:overflowPunct w:val="0"/>
              <w:autoSpaceDE w:val="0"/>
              <w:autoSpaceDN w:val="0"/>
              <w:adjustRightInd w:val="0"/>
              <w:contextualSpacing/>
              <w:textAlignment w:val="baseline"/>
              <w:rPr>
                <w:rFonts w:eastAsia="宋体"/>
                <w:color w:val="000000"/>
              </w:rPr>
            </w:pPr>
            <w:r>
              <w:rPr>
                <w:rFonts w:eastAsia="宋体"/>
                <w:color w:val="000000"/>
              </w:rPr>
              <w:t>FFS: Parameter set enhancement of existing eType II codebook, based on evaluation results in 9.2.2.1</w:t>
            </w:r>
          </w:p>
          <w:p>
            <w:pPr>
              <w:numPr>
                <w:ilvl w:val="0"/>
                <w:numId w:val="13"/>
              </w:numPr>
              <w:contextualSpacing/>
              <w:rPr>
                <w:rFonts w:eastAsia="Malgun Gothic"/>
                <w:color w:val="000000"/>
                <w:lang w:val="en-US" w:eastAsia="zh-CN"/>
              </w:rPr>
            </w:pPr>
            <w:r>
              <w:rPr>
                <w:rFonts w:eastAsia="Malgun Gothic"/>
                <w:color w:val="000000"/>
                <w:lang w:val="en-US" w:eastAsia="zh-CN"/>
              </w:rPr>
              <w:t>RRC signaling and/or L1 signaling procedure to enable fast identification of AI/ML model</w:t>
            </w:r>
            <w:r>
              <w:rPr>
                <w:rFonts w:eastAsia="Malgun Gothic"/>
                <w:strike/>
                <w:color w:val="000000"/>
                <w:lang w:val="en-US" w:eastAsia="zh-CN"/>
              </w:rPr>
              <w:t xml:space="preserve"> </w:t>
            </w:r>
            <w:r>
              <w:rPr>
                <w:rFonts w:eastAsia="宋体"/>
                <w:color w:val="000000"/>
                <w:lang w:val="en-US" w:eastAsia="zh-CN"/>
              </w:rPr>
              <w:t>performance.</w:t>
            </w:r>
          </w:p>
          <w:p>
            <w:pPr>
              <w:numPr>
                <w:ilvl w:val="0"/>
                <w:numId w:val="13"/>
              </w:numPr>
              <w:contextualSpacing/>
              <w:rPr>
                <w:rFonts w:eastAsia="Malgun Gothic"/>
                <w:color w:val="000000"/>
                <w:lang w:val="en-US" w:eastAsia="zh-CN"/>
              </w:rPr>
            </w:pPr>
            <w:bookmarkStart w:id="0" w:name="_Hlk142590220"/>
            <w:r>
              <w:rPr>
                <w:rFonts w:eastAsia="Malgun Gothic"/>
                <w:color w:val="000000"/>
                <w:lang w:val="en-US" w:eastAsia="zh-CN"/>
              </w:rPr>
              <w:t xml:space="preserve">Aperiodic/semi-persistent or periodic </w:t>
            </w:r>
            <w:r>
              <w:rPr>
                <w:rFonts w:hint="eastAsia" w:eastAsia="Malgun Gothic"/>
                <w:color w:val="000000"/>
                <w:lang w:val="en-US" w:eastAsia="zh-CN"/>
              </w:rPr>
              <w:t>ground-truth CSI</w:t>
            </w:r>
            <w:r>
              <w:rPr>
                <w:rFonts w:eastAsia="Malgun Gothic"/>
                <w:color w:val="000000"/>
                <w:lang w:val="en-US" w:eastAsia="zh-CN"/>
              </w:rPr>
              <w:t xml:space="preserve"> report.</w:t>
            </w:r>
          </w:p>
          <w:bookmarkEnd w:id="0"/>
          <w:p>
            <w:pPr>
              <w:rPr>
                <w:rFonts w:ascii="Arial" w:hAnsi="Arial" w:cs="Arial"/>
                <w:b/>
                <w:sz w:val="24"/>
                <w:szCs w:val="24"/>
              </w:rPr>
            </w:pPr>
          </w:p>
          <w:p>
            <w:pPr>
              <w:rPr>
                <w:highlight w:val="green"/>
                <w:lang w:val="en-US" w:eastAsia="zh-CN"/>
              </w:rPr>
            </w:pPr>
            <w:r>
              <w:rPr>
                <w:highlight w:val="green"/>
                <w:lang w:val="en-US" w:eastAsia="zh-CN"/>
              </w:rPr>
              <w:t>Agreement</w:t>
            </w:r>
          </w:p>
          <w:p>
            <w:pPr>
              <w:rPr>
                <w:rFonts w:eastAsia="Malgun Gothic"/>
                <w:color w:val="000000"/>
              </w:rPr>
            </w:pPr>
            <w:r>
              <w:rPr>
                <w:rFonts w:eastAsia="Malgun Gothic"/>
              </w:rPr>
              <w:t xml:space="preserve">For CSI </w:t>
            </w:r>
            <w:r>
              <w:rPr>
                <w:rFonts w:eastAsia="Malgun Gothic"/>
                <w:color w:val="000000"/>
              </w:rPr>
              <w:t>prediction using UE side model use case,</w:t>
            </w:r>
            <w:r>
              <w:rPr>
                <w:color w:val="000000"/>
              </w:rPr>
              <w:t xml:space="preserve"> </w:t>
            </w:r>
            <w:r>
              <w:rPr>
                <w:rFonts w:eastAsia="Malgun Gothic"/>
                <w:color w:val="000000"/>
              </w:rPr>
              <w:t>at least the following aspects</w:t>
            </w:r>
            <w:r>
              <w:rPr>
                <w:rFonts w:eastAsia="Malgun Gothic"/>
                <w:color w:val="FF0000"/>
              </w:rPr>
              <w:t xml:space="preserve"> </w:t>
            </w:r>
            <w:r>
              <w:rPr>
                <w:rFonts w:eastAsia="Malgun Gothic"/>
                <w:color w:val="000000"/>
              </w:rPr>
              <w:t xml:space="preserve">have been proposed by companies on performance monitoring </w:t>
            </w:r>
            <w:r>
              <w:rPr>
                <w:rFonts w:hint="eastAsia" w:eastAsia="宋体"/>
                <w:color w:val="000000"/>
              </w:rPr>
              <w:t>for functionality-based LCM</w:t>
            </w:r>
            <w:r>
              <w:rPr>
                <w:rFonts w:eastAsia="Malgun Gothic"/>
                <w:color w:val="000000"/>
              </w:rPr>
              <w:t xml:space="preserve">: </w:t>
            </w:r>
          </w:p>
          <w:p>
            <w:pPr>
              <w:numPr>
                <w:ilvl w:val="0"/>
                <w:numId w:val="15"/>
              </w:numPr>
              <w:rPr>
                <w:color w:val="000000"/>
              </w:rPr>
            </w:pPr>
            <w:r>
              <w:rPr>
                <w:color w:val="000000"/>
              </w:rPr>
              <w:t xml:space="preserve">Type 1: </w:t>
            </w:r>
          </w:p>
          <w:p>
            <w:pPr>
              <w:numPr>
                <w:ilvl w:val="1"/>
                <w:numId w:val="15"/>
              </w:numPr>
              <w:rPr>
                <w:color w:val="000000"/>
              </w:rPr>
            </w:pPr>
            <w:r>
              <w:rPr>
                <w:color w:val="000000"/>
              </w:rPr>
              <w:t>UE calculate the performance metric(s)</w:t>
            </w:r>
            <w:r>
              <w:rPr>
                <w:strike/>
                <w:color w:val="000000"/>
              </w:rPr>
              <w:t xml:space="preserve"> </w:t>
            </w:r>
          </w:p>
          <w:p>
            <w:pPr>
              <w:numPr>
                <w:ilvl w:val="1"/>
                <w:numId w:val="15"/>
              </w:numPr>
              <w:rPr>
                <w:color w:val="000000"/>
              </w:rPr>
            </w:pPr>
            <w:r>
              <w:rPr>
                <w:color w:val="000000"/>
              </w:rPr>
              <w:t>UE reports performance monitoring output that facilitates functionality fallback decision at the network</w:t>
            </w:r>
          </w:p>
          <w:p>
            <w:pPr>
              <w:numPr>
                <w:ilvl w:val="2"/>
                <w:numId w:val="15"/>
              </w:numPr>
              <w:rPr>
                <w:color w:val="000000"/>
              </w:rPr>
            </w:pPr>
            <w:r>
              <w:rPr>
                <w:color w:val="000000"/>
              </w:rPr>
              <w:t xml:space="preserve">Performance monitoring output details can be further defined </w:t>
            </w:r>
          </w:p>
          <w:p>
            <w:pPr>
              <w:numPr>
                <w:ilvl w:val="2"/>
                <w:numId w:val="15"/>
              </w:numPr>
              <w:rPr>
                <w:color w:val="000000"/>
              </w:rPr>
            </w:pPr>
            <w:r>
              <w:rPr>
                <w:color w:val="000000"/>
              </w:rPr>
              <w:t xml:space="preserve">NW may configure threshold criterion to facilitate UE side performance monitoring (if needed). </w:t>
            </w:r>
          </w:p>
          <w:p>
            <w:pPr>
              <w:numPr>
                <w:ilvl w:val="1"/>
                <w:numId w:val="15"/>
              </w:numPr>
            </w:pPr>
            <w:r>
              <w:t xml:space="preserve">NW makes decision(s) of </w:t>
            </w:r>
            <w:r>
              <w:rPr>
                <w:color w:val="000000"/>
              </w:rPr>
              <w:t xml:space="preserve">functionality </w:t>
            </w:r>
            <w:r>
              <w:t>fallback operation (f</w:t>
            </w:r>
            <w:r>
              <w:rPr>
                <w:lang w:val="en-US" w:eastAsia="zh-CN"/>
              </w:rPr>
              <w:t>allback mechanism to legacy CSI reporting</w:t>
            </w:r>
            <w:r>
              <w:t xml:space="preserve">). </w:t>
            </w:r>
          </w:p>
          <w:p>
            <w:pPr>
              <w:numPr>
                <w:ilvl w:val="0"/>
                <w:numId w:val="15"/>
              </w:numPr>
              <w:rPr>
                <w:color w:val="000000"/>
              </w:rPr>
            </w:pPr>
            <w:r>
              <w:rPr>
                <w:color w:val="000000"/>
              </w:rPr>
              <w:t xml:space="preserve">Type 2: </w:t>
            </w:r>
          </w:p>
          <w:p>
            <w:pPr>
              <w:numPr>
                <w:ilvl w:val="1"/>
                <w:numId w:val="15"/>
              </w:numPr>
              <w:rPr>
                <w:color w:val="000000"/>
              </w:rPr>
            </w:pPr>
            <w:r>
              <w:rPr>
                <w:rFonts w:hint="eastAsia"/>
                <w:color w:val="000000"/>
              </w:rPr>
              <w:t xml:space="preserve">UE reports </w:t>
            </w:r>
            <w:r>
              <w:rPr>
                <w:color w:val="000000"/>
              </w:rPr>
              <w:t xml:space="preserve">predicted CSI and/or the corresponding ground truth  </w:t>
            </w:r>
          </w:p>
          <w:p>
            <w:pPr>
              <w:numPr>
                <w:ilvl w:val="1"/>
                <w:numId w:val="15"/>
              </w:numPr>
              <w:rPr>
                <w:color w:val="000000"/>
              </w:rPr>
            </w:pPr>
            <w:r>
              <w:rPr>
                <w:color w:val="000000"/>
              </w:rPr>
              <w:t xml:space="preserve">NW calculates the performance metrics. </w:t>
            </w:r>
          </w:p>
          <w:p>
            <w:pPr>
              <w:numPr>
                <w:ilvl w:val="1"/>
                <w:numId w:val="15"/>
              </w:numPr>
              <w:rPr>
                <w:color w:val="000000"/>
              </w:rPr>
            </w:pPr>
            <w:r>
              <w:rPr>
                <w:color w:val="000000"/>
              </w:rPr>
              <w:t xml:space="preserve">NW makes decision(s) of functionality fallback operation </w:t>
            </w:r>
            <w:r>
              <w:t>(f</w:t>
            </w:r>
            <w:r>
              <w:rPr>
                <w:lang w:val="en-US" w:eastAsia="zh-CN"/>
              </w:rPr>
              <w:t>allback mechanism to legacy CSI reporting</w:t>
            </w:r>
            <w:r>
              <w:t>)</w:t>
            </w:r>
            <w:r>
              <w:rPr>
                <w:color w:val="000000"/>
              </w:rPr>
              <w:t>.</w:t>
            </w:r>
          </w:p>
          <w:p>
            <w:pPr>
              <w:numPr>
                <w:ilvl w:val="0"/>
                <w:numId w:val="15"/>
              </w:numPr>
              <w:rPr>
                <w:color w:val="000000"/>
              </w:rPr>
            </w:pPr>
            <w:r>
              <w:rPr>
                <w:color w:val="000000"/>
              </w:rPr>
              <w:t xml:space="preserve">Type 3: </w:t>
            </w:r>
          </w:p>
          <w:p>
            <w:pPr>
              <w:numPr>
                <w:ilvl w:val="1"/>
                <w:numId w:val="15"/>
              </w:numPr>
            </w:pPr>
            <w:r>
              <w:t>UE calculate the performance metric(s)</w:t>
            </w:r>
            <w:r>
              <w:rPr>
                <w:strike/>
              </w:rPr>
              <w:t xml:space="preserve"> </w:t>
            </w:r>
          </w:p>
          <w:p>
            <w:pPr>
              <w:numPr>
                <w:ilvl w:val="1"/>
                <w:numId w:val="15"/>
              </w:numPr>
            </w:pPr>
            <w:r>
              <w:t>UE report performance metric(s) to the NW</w:t>
            </w:r>
          </w:p>
          <w:p>
            <w:pPr>
              <w:numPr>
                <w:ilvl w:val="1"/>
                <w:numId w:val="15"/>
              </w:numPr>
            </w:pPr>
            <w:r>
              <w:t xml:space="preserve">NW makes decision(s) of </w:t>
            </w:r>
            <w:r>
              <w:rPr>
                <w:color w:val="000000"/>
              </w:rPr>
              <w:t xml:space="preserve">functionality </w:t>
            </w:r>
            <w:r>
              <w:t>fallback operation (f</w:t>
            </w:r>
            <w:r>
              <w:rPr>
                <w:lang w:val="en-US" w:eastAsia="zh-CN"/>
              </w:rPr>
              <w:t>allback mechanism to legacy CSI reporting</w:t>
            </w:r>
            <w:r>
              <w:t xml:space="preserve">). </w:t>
            </w:r>
          </w:p>
          <w:p>
            <w:pPr>
              <w:numPr>
                <w:ilvl w:val="0"/>
                <w:numId w:val="15"/>
              </w:numPr>
            </w:pPr>
            <w:r>
              <w:rPr>
                <w:color w:val="000000"/>
              </w:rPr>
              <w:t xml:space="preserve">Functionality selection/activation/ deactivation/switching </w:t>
            </w:r>
            <w:r>
              <w:rPr>
                <w:lang w:val="en-US" w:eastAsia="zh-CN"/>
              </w:rPr>
              <w:t>what is defined for other UE side use cases</w:t>
            </w:r>
            <w:r>
              <w:rPr>
                <w:color w:val="000000"/>
              </w:rPr>
              <w:t xml:space="preserve"> can be reused, if applicable. </w:t>
            </w:r>
          </w:p>
          <w:p>
            <w:pPr>
              <w:numPr>
                <w:ilvl w:val="0"/>
                <w:numId w:val="15"/>
              </w:numPr>
            </w:pPr>
            <w:r>
              <w:t xml:space="preserve">Configuration and procedure for performance monitoring </w:t>
            </w:r>
          </w:p>
          <w:p>
            <w:pPr>
              <w:numPr>
                <w:ilvl w:val="1"/>
                <w:numId w:val="15"/>
              </w:numPr>
            </w:pPr>
            <w:r>
              <w:t>CSI-RS configuration for performance monitoring</w:t>
            </w:r>
          </w:p>
          <w:p>
            <w:pPr>
              <w:numPr>
                <w:ilvl w:val="0"/>
                <w:numId w:val="15"/>
              </w:numPr>
              <w:rPr>
                <w:strike/>
              </w:rPr>
            </w:pPr>
            <w:r>
              <w:t>Performance metric including at least intermediate KPI (e.g., NMSE or SGCS)</w:t>
            </w:r>
          </w:p>
          <w:p>
            <w:pPr>
              <w:numPr>
                <w:ilvl w:val="0"/>
                <w:numId w:val="15"/>
              </w:numPr>
              <w:rPr>
                <w:rFonts w:eastAsia="Malgun Gothic"/>
              </w:rPr>
            </w:pPr>
            <w:r>
              <w:t>UE report, including periodic/semi-persistent/aperiodic reporting, and event driven report.</w:t>
            </w:r>
          </w:p>
          <w:p>
            <w:pPr>
              <w:numPr>
                <w:ilvl w:val="0"/>
                <w:numId w:val="15"/>
              </w:numPr>
            </w:pPr>
            <w:r>
              <w:t>Note: down selection is not precluded.</w:t>
            </w:r>
          </w:p>
          <w:p>
            <w:pPr>
              <w:numPr>
                <w:ilvl w:val="0"/>
                <w:numId w:val="15"/>
              </w:numPr>
            </w:pPr>
            <w:r>
              <w:t xml:space="preserve">Note: UE may make decision </w:t>
            </w:r>
            <w:r>
              <w:rPr>
                <w:rFonts w:hint="eastAsia"/>
              </w:rPr>
              <w:t>with</w:t>
            </w:r>
            <w:r>
              <w:t>in</w:t>
            </w:r>
            <w:r>
              <w:rPr>
                <w:rFonts w:hint="eastAsia"/>
              </w:rPr>
              <w:t xml:space="preserve"> the same functionality </w:t>
            </w:r>
            <w:r>
              <w:t xml:space="preserve">on model selection, activation, deactivation, switching operation transparent to the NW. </w:t>
            </w:r>
          </w:p>
          <w:p>
            <w:pPr>
              <w:rPr>
                <w:rFonts w:ascii="Arial" w:hAnsi="Arial" w:cs="Arial"/>
                <w:b/>
                <w:sz w:val="24"/>
                <w:szCs w:val="24"/>
              </w:rPr>
            </w:pPr>
          </w:p>
        </w:tc>
      </w:tr>
    </w:tbl>
    <w:p>
      <w:pPr>
        <w:rPr>
          <w:b/>
          <w:i/>
          <w:lang w:eastAsia="zh-CN"/>
        </w:rPr>
      </w:pPr>
    </w:p>
    <w:p>
      <w:pPr>
        <w:spacing w:before="120" w:beforeLines="50" w:line="288" w:lineRule="auto"/>
        <w:jc w:val="both"/>
      </w:pPr>
      <w:r>
        <w:t>Based on the above agreements in previous meetings, regarding CSI enhancement, we have the following tables as the replies to Part B in LS.</w:t>
      </w:r>
    </w:p>
    <w:p>
      <w:pPr>
        <w:rPr>
          <w:b/>
          <w:i/>
          <w:lang w:eastAsia="zh-CN"/>
        </w:rPr>
      </w:pPr>
      <w:r>
        <w:rPr>
          <w:b/>
          <w:i/>
          <w:u w:val="single"/>
          <w:lang w:eastAsia="zh-CN"/>
        </w:rPr>
        <w:t>Proposal 1</w:t>
      </w:r>
      <w:r>
        <w:rPr>
          <w:b/>
          <w:i/>
          <w:lang w:eastAsia="zh-CN"/>
        </w:rPr>
        <w:t xml:space="preserve">: </w:t>
      </w:r>
      <w:r>
        <w:rPr>
          <w:b/>
          <w:i/>
        </w:rPr>
        <w:t>Regarding CSI compression,</w:t>
      </w:r>
      <w:r>
        <w:rPr>
          <w:rFonts w:hint="eastAsia"/>
          <w:b/>
          <w:i/>
          <w:lang w:eastAsia="zh-CN"/>
        </w:rPr>
        <w:t xml:space="preserve"> </w:t>
      </w:r>
      <w:r>
        <w:rPr>
          <w:b/>
          <w:i/>
          <w:lang w:eastAsia="zh-CN"/>
        </w:rPr>
        <w:t>p</w:t>
      </w:r>
      <w:r>
        <w:rPr>
          <w:rFonts w:hint="eastAsia"/>
          <w:b/>
          <w:i/>
          <w:lang w:eastAsia="zh-CN"/>
        </w:rPr>
        <w:t>ro</w:t>
      </w:r>
      <w:r>
        <w:rPr>
          <w:b/>
          <w:i/>
          <w:lang w:eastAsia="zh-CN"/>
        </w:rPr>
        <w:t>vide the following Table 1 as the replies to Part B.</w:t>
      </w:r>
    </w:p>
    <w:p>
      <w:pPr>
        <w:rPr>
          <w:kern w:val="2"/>
          <w:lang w:eastAsia="zh-CN"/>
        </w:rPr>
      </w:pPr>
    </w:p>
    <w:p>
      <w:pPr>
        <w:pStyle w:val="11"/>
      </w:pPr>
      <w:r>
        <w:rPr>
          <w:rFonts w:hint="eastAsia"/>
        </w:rPr>
        <w:t>T</w:t>
      </w:r>
      <w:r>
        <w:t>able 1 Data collection requirements for CSI compression</w:t>
      </w:r>
    </w:p>
    <w:tbl>
      <w:tblPr>
        <w:tblStyle w:val="20"/>
        <w:tblW w:w="10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1171"/>
        <w:gridCol w:w="1711"/>
        <w:gridCol w:w="2161"/>
        <w:gridCol w:w="1261"/>
        <w:gridCol w:w="990"/>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LCM purpose</w:t>
            </w:r>
          </w:p>
        </w:tc>
        <w:tc>
          <w:tcPr>
            <w:tcW w:w="11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Data content</w:t>
            </w:r>
          </w:p>
        </w:tc>
        <w:tc>
          <w:tcPr>
            <w:tcW w:w="171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Data transfer direction</w:t>
            </w:r>
          </w:p>
        </w:tc>
        <w:tc>
          <w:tcPr>
            <w:tcW w:w="21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Typical data size (per data sample)</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Reporting type</w:t>
            </w:r>
            <w:r>
              <w:rPr>
                <w:b/>
                <w:bCs/>
              </w:rPr>
              <w:br w:type="textWrapping"/>
            </w:r>
          </w:p>
        </w:tc>
        <w:tc>
          <w:tcPr>
            <w:tcW w:w="990"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Typical latency requirement</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Offline model training</w:t>
            </w:r>
          </w:p>
        </w:tc>
        <w:tc>
          <w:tcPr>
            <w:tcW w:w="11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Target CSI (Precoding Matrix or channel matrix)</w:t>
            </w:r>
          </w:p>
        </w:tc>
        <w:tc>
          <w:tcPr>
            <w:tcW w:w="171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UE to training entity</w:t>
            </w:r>
          </w:p>
        </w:tc>
        <w:tc>
          <w:tcPr>
            <w:tcW w:w="21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 xml:space="preserve">Depends on format: </w:t>
            </w:r>
            <w:r>
              <w:br w:type="textWrapping"/>
            </w:r>
            <w:r>
              <w:t xml:space="preserve">~ 1000 bits (eType II), </w:t>
            </w:r>
            <w:r>
              <w:br w:type="textWrapping"/>
            </w:r>
            <w:r>
              <w:t xml:space="preserve">~ A few 1000 bits (eType-like with enhance parameters); </w:t>
            </w:r>
            <w:r>
              <w:br w:type="textWrapping"/>
            </w:r>
            <w:r>
              <w:t>~ 100K bits (float32)</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rPr>
                <w:rFonts w:eastAsia="宋体"/>
              </w:rPr>
              <w:t>No agreement</w:t>
            </w:r>
          </w:p>
        </w:tc>
        <w:tc>
          <w:tcPr>
            <w:tcW w:w="990"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Relaxed</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tcBorders>
              <w:top w:val="single" w:color="auto" w:sz="4" w:space="0"/>
              <w:left w:val="single" w:color="auto" w:sz="4" w:space="0"/>
              <w:bottom w:val="single" w:color="auto" w:sz="4" w:space="0"/>
              <w:right w:val="single" w:color="auto" w:sz="4" w:space="0"/>
            </w:tcBorders>
            <w:vAlign w:val="center"/>
          </w:tcPr>
          <w:p/>
        </w:tc>
        <w:tc>
          <w:tcPr>
            <w:tcW w:w="11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Target CSI (precoding matrix for Type 3 separate training)</w:t>
            </w:r>
          </w:p>
        </w:tc>
        <w:tc>
          <w:tcPr>
            <w:tcW w:w="171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 xml:space="preserve">NW-first: NW-side to UE-side; </w:t>
            </w:r>
            <w:r>
              <w:br w:type="textWrapping"/>
            </w:r>
            <w:r>
              <w:br w:type="textWrapping"/>
            </w:r>
            <w:r>
              <w:t xml:space="preserve">UE-first: UE-side  to NW-side  </w:t>
            </w:r>
          </w:p>
        </w:tc>
        <w:tc>
          <w:tcPr>
            <w:tcW w:w="21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No agreement</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No agreement</w:t>
            </w:r>
          </w:p>
        </w:tc>
        <w:tc>
          <w:tcPr>
            <w:tcW w:w="990"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Relaxed</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Inference</w:t>
            </w:r>
          </w:p>
        </w:tc>
        <w:tc>
          <w:tcPr>
            <w:tcW w:w="11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CSI Feedback</w:t>
            </w:r>
          </w:p>
        </w:tc>
        <w:tc>
          <w:tcPr>
            <w:tcW w:w="171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UE to NW</w:t>
            </w:r>
          </w:p>
        </w:tc>
        <w:tc>
          <w:tcPr>
            <w:tcW w:w="21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 1000 bits</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 xml:space="preserve">periodic, aperiodic, </w:t>
            </w:r>
            <w:r>
              <w:rPr>
                <w:rFonts w:hint="eastAsia"/>
              </w:rPr>
              <w:t>s</w:t>
            </w:r>
            <w:r>
              <w:t>emi-persistent</w:t>
            </w:r>
          </w:p>
        </w:tc>
        <w:tc>
          <w:tcPr>
            <w:tcW w:w="990"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Time-critical</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Can use L1 report similar to legacy CSI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tcBorders>
              <w:left w:val="single" w:color="auto" w:sz="4" w:space="0"/>
              <w:right w:val="single" w:color="auto" w:sz="4" w:space="0"/>
            </w:tcBorders>
            <w:vAlign w:val="center"/>
          </w:tcPr>
          <w:p>
            <w:pPr>
              <w:snapToGrid w:val="0"/>
              <w:spacing w:before="100" w:beforeAutospacing="1" w:after="120"/>
            </w:pPr>
            <w:r>
              <w:t>NW-sided real-time monitoring</w:t>
            </w:r>
          </w:p>
        </w:tc>
        <w:tc>
          <w:tcPr>
            <w:tcW w:w="11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Target CSI (Precoding Matrix)</w:t>
            </w:r>
          </w:p>
        </w:tc>
        <w:tc>
          <w:tcPr>
            <w:tcW w:w="171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UE to NW</w:t>
            </w:r>
          </w:p>
        </w:tc>
        <w:tc>
          <w:tcPr>
            <w:tcW w:w="21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 xml:space="preserve">Depends on format: </w:t>
            </w:r>
            <w:r>
              <w:br w:type="textWrapping"/>
            </w:r>
            <w:r>
              <w:t xml:space="preserve">~ 1000 bits (eType II) </w:t>
            </w:r>
            <w:r>
              <w:br w:type="textWrapping"/>
            </w:r>
            <w:r>
              <w:t xml:space="preserve">~ A few 1000 bits (eType-like with enhanced parameters) </w:t>
            </w:r>
            <w:r>
              <w:br w:type="textWrapping"/>
            </w:r>
            <w:r>
              <w:t>~ 100K bits (float32)</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RAN1 to confirm the feasibility and necessity</w:t>
            </w:r>
          </w:p>
        </w:tc>
        <w:tc>
          <w:tcPr>
            <w:tcW w:w="990"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Near-real-time</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tcBorders>
              <w:left w:val="single" w:color="auto" w:sz="4" w:space="0"/>
              <w:bottom w:val="single" w:color="auto" w:sz="4" w:space="0"/>
              <w:right w:val="single" w:color="auto" w:sz="4" w:space="0"/>
            </w:tcBorders>
            <w:vAlign w:val="center"/>
          </w:tcPr>
          <w:p>
            <w:pPr>
              <w:snapToGrid w:val="0"/>
              <w:spacing w:before="100" w:beforeAutospacing="1" w:after="120"/>
            </w:pPr>
          </w:p>
        </w:tc>
        <w:tc>
          <w:tcPr>
            <w:tcW w:w="11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Calculated performance metrics</w:t>
            </w:r>
          </w:p>
        </w:tc>
        <w:tc>
          <w:tcPr>
            <w:tcW w:w="171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UE to NW</w:t>
            </w:r>
          </w:p>
        </w:tc>
        <w:tc>
          <w:tcPr>
            <w:tcW w:w="21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Small</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RAN1 to confirm the feasibility and necessity</w:t>
            </w:r>
          </w:p>
        </w:tc>
        <w:tc>
          <w:tcPr>
            <w:tcW w:w="990"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Near-real-time</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p>
        </w:tc>
      </w:tr>
    </w:tbl>
    <w:p>
      <w:pPr>
        <w:rPr>
          <w:rFonts w:ascii="Arial" w:hAnsi="Arial" w:cs="Arial"/>
          <w:b/>
          <w:sz w:val="24"/>
          <w:szCs w:val="24"/>
        </w:rPr>
      </w:pPr>
    </w:p>
    <w:p>
      <w:pPr>
        <w:rPr>
          <w:b/>
          <w:i/>
          <w:lang w:eastAsia="zh-CN"/>
        </w:rPr>
      </w:pPr>
      <w:r>
        <w:rPr>
          <w:b/>
          <w:i/>
          <w:u w:val="single"/>
          <w:lang w:eastAsia="zh-CN"/>
        </w:rPr>
        <w:t>Proposal 2</w:t>
      </w:r>
      <w:r>
        <w:rPr>
          <w:b/>
          <w:i/>
          <w:lang w:eastAsia="zh-CN"/>
        </w:rPr>
        <w:t xml:space="preserve">: </w:t>
      </w:r>
      <w:r>
        <w:rPr>
          <w:b/>
          <w:i/>
        </w:rPr>
        <w:t>Regarding CSI prediction,</w:t>
      </w:r>
      <w:r>
        <w:rPr>
          <w:rFonts w:hint="eastAsia"/>
          <w:b/>
          <w:i/>
          <w:lang w:eastAsia="zh-CN"/>
        </w:rPr>
        <w:t xml:space="preserve"> </w:t>
      </w:r>
      <w:r>
        <w:rPr>
          <w:b/>
          <w:i/>
          <w:lang w:eastAsia="zh-CN"/>
        </w:rPr>
        <w:t>p</w:t>
      </w:r>
      <w:r>
        <w:rPr>
          <w:rFonts w:hint="eastAsia"/>
          <w:b/>
          <w:i/>
          <w:lang w:eastAsia="zh-CN"/>
        </w:rPr>
        <w:t>ro</w:t>
      </w:r>
      <w:r>
        <w:rPr>
          <w:b/>
          <w:i/>
          <w:lang w:eastAsia="zh-CN"/>
        </w:rPr>
        <w:t>vide the following Table 2 as the replies to Part B.</w:t>
      </w:r>
    </w:p>
    <w:p>
      <w:pPr>
        <w:rPr>
          <w:b/>
          <w:i/>
          <w:lang w:eastAsia="zh-CN"/>
        </w:rPr>
      </w:pPr>
    </w:p>
    <w:p>
      <w:pPr>
        <w:pStyle w:val="11"/>
      </w:pPr>
      <w:r>
        <w:rPr>
          <w:rFonts w:hint="eastAsia"/>
        </w:rPr>
        <w:t>T</w:t>
      </w:r>
      <w:r>
        <w:t>able 2 Data collection requirements for CSI prediction</w:t>
      </w:r>
    </w:p>
    <w:tbl>
      <w:tblPr>
        <w:tblStyle w:val="20"/>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1620"/>
        <w:gridCol w:w="810"/>
        <w:gridCol w:w="2610"/>
        <w:gridCol w:w="1260"/>
        <w:gridCol w:w="108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pPr>
              <w:snapToGrid w:val="0"/>
              <w:spacing w:before="100" w:beforeAutospacing="1" w:after="120"/>
              <w:rPr>
                <w:b/>
                <w:bCs/>
              </w:rPr>
            </w:pPr>
            <w:r>
              <w:rPr>
                <w:b/>
                <w:bCs/>
              </w:rPr>
              <w:t>LCM purpose</w:t>
            </w:r>
          </w:p>
        </w:tc>
        <w:tc>
          <w:tcPr>
            <w:tcW w:w="1620" w:type="dxa"/>
            <w:vAlign w:val="center"/>
          </w:tcPr>
          <w:p>
            <w:pPr>
              <w:snapToGrid w:val="0"/>
              <w:spacing w:before="100" w:beforeAutospacing="1" w:after="120"/>
              <w:rPr>
                <w:b/>
                <w:bCs/>
              </w:rPr>
            </w:pPr>
            <w:r>
              <w:rPr>
                <w:b/>
                <w:bCs/>
              </w:rPr>
              <w:t>Data content</w:t>
            </w:r>
          </w:p>
        </w:tc>
        <w:tc>
          <w:tcPr>
            <w:tcW w:w="810" w:type="dxa"/>
            <w:vAlign w:val="center"/>
          </w:tcPr>
          <w:p>
            <w:pPr>
              <w:snapToGrid w:val="0"/>
              <w:spacing w:before="100" w:beforeAutospacing="1" w:after="120"/>
              <w:rPr>
                <w:b/>
                <w:bCs/>
              </w:rPr>
            </w:pPr>
            <w:r>
              <w:rPr>
                <w:b/>
                <w:bCs/>
              </w:rPr>
              <w:t>Data transfer direction</w:t>
            </w:r>
          </w:p>
        </w:tc>
        <w:tc>
          <w:tcPr>
            <w:tcW w:w="2610" w:type="dxa"/>
            <w:vAlign w:val="center"/>
          </w:tcPr>
          <w:p>
            <w:pPr>
              <w:snapToGrid w:val="0"/>
              <w:spacing w:before="100" w:beforeAutospacing="1" w:after="120"/>
              <w:rPr>
                <w:b/>
                <w:bCs/>
              </w:rPr>
            </w:pPr>
            <w:r>
              <w:rPr>
                <w:b/>
                <w:bCs/>
              </w:rPr>
              <w:t>Typical data size (per data sample)</w:t>
            </w:r>
          </w:p>
        </w:tc>
        <w:tc>
          <w:tcPr>
            <w:tcW w:w="1260" w:type="dxa"/>
            <w:vAlign w:val="center"/>
          </w:tcPr>
          <w:p>
            <w:pPr>
              <w:snapToGrid w:val="0"/>
              <w:spacing w:before="100" w:beforeAutospacing="1" w:after="120"/>
              <w:rPr>
                <w:b/>
                <w:bCs/>
              </w:rPr>
            </w:pPr>
            <w:r>
              <w:rPr>
                <w:b/>
                <w:bCs/>
              </w:rPr>
              <w:t>Reporting type</w:t>
            </w:r>
            <w:r>
              <w:rPr>
                <w:b/>
                <w:bCs/>
              </w:rPr>
              <w:br w:type="textWrapping"/>
            </w:r>
          </w:p>
        </w:tc>
        <w:tc>
          <w:tcPr>
            <w:tcW w:w="1080" w:type="dxa"/>
            <w:vAlign w:val="center"/>
          </w:tcPr>
          <w:p>
            <w:pPr>
              <w:snapToGrid w:val="0"/>
              <w:spacing w:before="100" w:beforeAutospacing="1" w:after="120"/>
              <w:rPr>
                <w:b/>
                <w:bCs/>
              </w:rPr>
            </w:pPr>
            <w:r>
              <w:rPr>
                <w:b/>
                <w:bCs/>
              </w:rPr>
              <w:t>Typical latency requirement</w:t>
            </w:r>
          </w:p>
        </w:tc>
        <w:tc>
          <w:tcPr>
            <w:tcW w:w="1170" w:type="dxa"/>
            <w:vAlign w:val="center"/>
          </w:tcPr>
          <w:p>
            <w:pPr>
              <w:snapToGrid w:val="0"/>
              <w:spacing w:before="100" w:beforeAutospacing="1" w:after="120"/>
              <w:rPr>
                <w:b/>
                <w:bCs/>
              </w:rPr>
            </w:pPr>
            <w:r>
              <w:rPr>
                <w:b/>
                <w:bCs/>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pPr>
              <w:snapToGrid w:val="0"/>
              <w:spacing w:before="100" w:beforeAutospacing="1" w:after="120"/>
            </w:pPr>
            <w:r>
              <w:t>Offline model training</w:t>
            </w:r>
          </w:p>
        </w:tc>
        <w:tc>
          <w:tcPr>
            <w:tcW w:w="1620" w:type="dxa"/>
            <w:vAlign w:val="center"/>
          </w:tcPr>
          <w:p>
            <w:pPr>
              <w:snapToGrid w:val="0"/>
              <w:spacing w:before="100" w:beforeAutospacing="1" w:after="120"/>
            </w:pPr>
            <w:r>
              <w:t>Target CSI in observation and prediction window</w:t>
            </w:r>
          </w:p>
        </w:tc>
        <w:tc>
          <w:tcPr>
            <w:tcW w:w="810" w:type="dxa"/>
            <w:vAlign w:val="center"/>
          </w:tcPr>
          <w:p>
            <w:pPr>
              <w:snapToGrid w:val="0"/>
              <w:spacing w:before="100" w:beforeAutospacing="1" w:after="120"/>
            </w:pPr>
            <w:r>
              <w:t>UE to training entity</w:t>
            </w:r>
          </w:p>
        </w:tc>
        <w:tc>
          <w:tcPr>
            <w:tcW w:w="2610" w:type="dxa"/>
            <w:vAlign w:val="center"/>
          </w:tcPr>
          <w:p>
            <w:pPr>
              <w:snapToGrid w:val="0"/>
              <w:spacing w:before="100" w:beforeAutospacing="1" w:after="120"/>
            </w:pPr>
            <w:r>
              <w:t xml:space="preserve">Depends on format and window size (assumed 10 samples below): </w:t>
            </w:r>
            <w:r>
              <w:br w:type="textWrapping"/>
            </w:r>
            <w:r>
              <w:t xml:space="preserve">~ 10K bits (eType II), </w:t>
            </w:r>
            <w:r>
              <w:br w:type="textWrapping"/>
            </w:r>
            <w:r>
              <w:t xml:space="preserve">~ A few tens of Kbits (eType-like with enhance parameters); </w:t>
            </w:r>
            <w:r>
              <w:br w:type="textWrapping"/>
            </w:r>
            <w:r>
              <w:t>~ 100K bits (float32)</w:t>
            </w:r>
          </w:p>
        </w:tc>
        <w:tc>
          <w:tcPr>
            <w:tcW w:w="1260" w:type="dxa"/>
            <w:vAlign w:val="center"/>
          </w:tcPr>
          <w:p>
            <w:pPr>
              <w:snapToGrid w:val="0"/>
              <w:spacing w:before="100" w:beforeAutospacing="1" w:after="120"/>
            </w:pPr>
            <w:r>
              <w:rPr>
                <w:rFonts w:eastAsia="宋体"/>
              </w:rPr>
              <w:t>No agreement</w:t>
            </w:r>
          </w:p>
        </w:tc>
        <w:tc>
          <w:tcPr>
            <w:tcW w:w="1080" w:type="dxa"/>
            <w:vAlign w:val="center"/>
          </w:tcPr>
          <w:p>
            <w:pPr>
              <w:snapToGrid w:val="0"/>
              <w:spacing w:before="100" w:beforeAutospacing="1" w:after="120"/>
            </w:pPr>
            <w:r>
              <w:t>Relaxed</w:t>
            </w:r>
          </w:p>
        </w:tc>
        <w:tc>
          <w:tcPr>
            <w:tcW w:w="1170" w:type="dxa"/>
            <w:vAlign w:val="center"/>
          </w:tcPr>
          <w:p>
            <w:pPr>
              <w:snapToGrid w:val="0"/>
              <w:spacing w:before="100" w:beforeAutospacing="1" w:after="1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pPr>
              <w:snapToGrid w:val="0"/>
              <w:spacing w:before="100" w:beforeAutospacing="1" w:after="120"/>
            </w:pPr>
            <w:r>
              <w:t>Inference</w:t>
            </w:r>
          </w:p>
        </w:tc>
        <w:tc>
          <w:tcPr>
            <w:tcW w:w="1620" w:type="dxa"/>
            <w:vAlign w:val="center"/>
          </w:tcPr>
          <w:p>
            <w:pPr>
              <w:snapToGrid w:val="0"/>
              <w:spacing w:before="100" w:beforeAutospacing="1" w:after="120"/>
            </w:pPr>
            <w:r>
              <w:t>Predicted CSI feedback (AI/ML output)</w:t>
            </w:r>
          </w:p>
        </w:tc>
        <w:tc>
          <w:tcPr>
            <w:tcW w:w="810" w:type="dxa"/>
            <w:vAlign w:val="center"/>
          </w:tcPr>
          <w:p>
            <w:pPr>
              <w:snapToGrid w:val="0"/>
              <w:spacing w:before="100" w:beforeAutospacing="1" w:after="120"/>
            </w:pPr>
            <w:r>
              <w:t>UE to NW</w:t>
            </w:r>
          </w:p>
        </w:tc>
        <w:tc>
          <w:tcPr>
            <w:tcW w:w="2610" w:type="dxa"/>
            <w:vAlign w:val="center"/>
          </w:tcPr>
          <w:p>
            <w:pPr>
              <w:snapToGrid w:val="0"/>
              <w:spacing w:before="100" w:beforeAutospacing="1" w:after="120"/>
            </w:pPr>
            <w:r>
              <w:t>~ 1000 bits (eType II)</w:t>
            </w:r>
          </w:p>
        </w:tc>
        <w:tc>
          <w:tcPr>
            <w:tcW w:w="1260" w:type="dxa"/>
            <w:vAlign w:val="center"/>
          </w:tcPr>
          <w:p>
            <w:pPr>
              <w:snapToGrid w:val="0"/>
              <w:spacing w:before="100" w:beforeAutospacing="1" w:after="120"/>
            </w:pPr>
            <w:r>
              <w:t xml:space="preserve">periodic, aperiodic, </w:t>
            </w:r>
            <w:r>
              <w:rPr>
                <w:rFonts w:hint="eastAsia"/>
              </w:rPr>
              <w:t>s</w:t>
            </w:r>
            <w:r>
              <w:t>emi-persistent</w:t>
            </w:r>
          </w:p>
        </w:tc>
        <w:tc>
          <w:tcPr>
            <w:tcW w:w="1080" w:type="dxa"/>
            <w:vAlign w:val="center"/>
          </w:tcPr>
          <w:p>
            <w:pPr>
              <w:snapToGrid w:val="0"/>
              <w:spacing w:before="100" w:beforeAutospacing="1" w:after="120"/>
            </w:pPr>
            <w:r>
              <w:t>Time-critical</w:t>
            </w:r>
          </w:p>
        </w:tc>
        <w:tc>
          <w:tcPr>
            <w:tcW w:w="1170" w:type="dxa"/>
            <w:vAlign w:val="center"/>
          </w:tcPr>
          <w:p>
            <w:pPr>
              <w:snapToGrid w:val="0"/>
              <w:spacing w:before="100" w:beforeAutospacing="1" w:after="120"/>
            </w:pPr>
            <w:r>
              <w:t>Can use L1 report similar to legacy CSI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pPr>
              <w:snapToGrid w:val="0"/>
              <w:spacing w:before="100" w:beforeAutospacing="1" w:after="120"/>
            </w:pPr>
            <w:r>
              <w:t>Real-time monitoring</w:t>
            </w:r>
          </w:p>
        </w:tc>
        <w:tc>
          <w:tcPr>
            <w:tcW w:w="1620" w:type="dxa"/>
            <w:vAlign w:val="center"/>
          </w:tcPr>
          <w:p>
            <w:pPr>
              <w:snapToGrid w:val="0"/>
              <w:spacing w:before="100" w:beforeAutospacing="1" w:after="120"/>
            </w:pPr>
            <w:r>
              <w:t>Predicted CSI and/or the corresponding ground truth</w:t>
            </w:r>
          </w:p>
        </w:tc>
        <w:tc>
          <w:tcPr>
            <w:tcW w:w="810" w:type="dxa"/>
            <w:vAlign w:val="center"/>
          </w:tcPr>
          <w:p>
            <w:pPr>
              <w:snapToGrid w:val="0"/>
              <w:spacing w:before="100" w:beforeAutospacing="1" w:after="120"/>
            </w:pPr>
            <w:r>
              <w:t>UE to NW</w:t>
            </w:r>
          </w:p>
        </w:tc>
        <w:tc>
          <w:tcPr>
            <w:tcW w:w="2610" w:type="dxa"/>
            <w:vAlign w:val="center"/>
          </w:tcPr>
          <w:p>
            <w:pPr>
              <w:snapToGrid w:val="0"/>
              <w:spacing w:before="100" w:beforeAutospacing="1" w:after="120"/>
            </w:pPr>
            <w:r>
              <w:t>~ 1000 bits (eType II)</w:t>
            </w:r>
          </w:p>
        </w:tc>
        <w:tc>
          <w:tcPr>
            <w:tcW w:w="1260" w:type="dxa"/>
            <w:vAlign w:val="center"/>
          </w:tcPr>
          <w:p>
            <w:pPr>
              <w:snapToGrid w:val="0"/>
              <w:spacing w:before="100" w:beforeAutospacing="1" w:after="120"/>
            </w:pPr>
            <w:r>
              <w:t xml:space="preserve">periodic, aperiodic, </w:t>
            </w:r>
            <w:r>
              <w:rPr>
                <w:rFonts w:hint="eastAsia"/>
              </w:rPr>
              <w:t>s</w:t>
            </w:r>
            <w:r>
              <w:t>emi-persistent</w:t>
            </w:r>
          </w:p>
        </w:tc>
        <w:tc>
          <w:tcPr>
            <w:tcW w:w="1080" w:type="dxa"/>
            <w:vAlign w:val="center"/>
          </w:tcPr>
          <w:p>
            <w:pPr>
              <w:snapToGrid w:val="0"/>
              <w:spacing w:before="100" w:beforeAutospacing="1" w:after="120"/>
            </w:pPr>
            <w:r>
              <w:t>Near-real-time</w:t>
            </w:r>
          </w:p>
        </w:tc>
        <w:tc>
          <w:tcPr>
            <w:tcW w:w="1170" w:type="dxa"/>
            <w:vAlign w:val="center"/>
          </w:tcPr>
          <w:p>
            <w:pPr>
              <w:snapToGrid w:val="0"/>
              <w:spacing w:before="100" w:beforeAutospacing="1" w:after="1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pPr>
              <w:snapToGrid w:val="0"/>
              <w:spacing w:before="100" w:beforeAutospacing="1" w:after="120"/>
            </w:pPr>
          </w:p>
        </w:tc>
        <w:tc>
          <w:tcPr>
            <w:tcW w:w="1620" w:type="dxa"/>
            <w:vAlign w:val="center"/>
          </w:tcPr>
          <w:p>
            <w:pPr>
              <w:snapToGrid w:val="0"/>
              <w:spacing w:before="100" w:beforeAutospacing="1" w:after="120"/>
            </w:pPr>
            <w:r>
              <w:t>Calculated performance metrics/</w:t>
            </w:r>
          </w:p>
          <w:p>
            <w:pPr>
              <w:snapToGrid w:val="0"/>
              <w:spacing w:before="100" w:beforeAutospacing="1" w:after="120"/>
            </w:pPr>
            <w:r>
              <w:t>Performance monitoring output</w:t>
            </w:r>
          </w:p>
        </w:tc>
        <w:tc>
          <w:tcPr>
            <w:tcW w:w="810" w:type="dxa"/>
            <w:vAlign w:val="center"/>
          </w:tcPr>
          <w:p>
            <w:pPr>
              <w:snapToGrid w:val="0"/>
              <w:spacing w:before="100" w:beforeAutospacing="1" w:after="120"/>
            </w:pPr>
            <w:r>
              <w:t>UE to NW</w:t>
            </w:r>
          </w:p>
        </w:tc>
        <w:tc>
          <w:tcPr>
            <w:tcW w:w="2610" w:type="dxa"/>
            <w:vAlign w:val="center"/>
          </w:tcPr>
          <w:p>
            <w:pPr>
              <w:snapToGrid w:val="0"/>
              <w:spacing w:before="100" w:beforeAutospacing="1" w:after="120"/>
            </w:pPr>
            <w:r>
              <w:t>Small</w:t>
            </w:r>
          </w:p>
        </w:tc>
        <w:tc>
          <w:tcPr>
            <w:tcW w:w="1260" w:type="dxa"/>
            <w:vAlign w:val="center"/>
          </w:tcPr>
          <w:p>
            <w:pPr>
              <w:snapToGrid w:val="0"/>
              <w:spacing w:before="100" w:beforeAutospacing="1" w:after="120"/>
            </w:pPr>
            <w:r>
              <w:t>periodic, aperiodic, semi-persistent, event driven</w:t>
            </w:r>
          </w:p>
        </w:tc>
        <w:tc>
          <w:tcPr>
            <w:tcW w:w="1080" w:type="dxa"/>
            <w:vAlign w:val="center"/>
          </w:tcPr>
          <w:p>
            <w:pPr>
              <w:snapToGrid w:val="0"/>
              <w:spacing w:before="100" w:beforeAutospacing="1" w:after="120"/>
            </w:pPr>
            <w:r>
              <w:t>Near-real-time</w:t>
            </w:r>
          </w:p>
        </w:tc>
        <w:tc>
          <w:tcPr>
            <w:tcW w:w="1170" w:type="dxa"/>
            <w:vAlign w:val="center"/>
          </w:tcPr>
          <w:p>
            <w:pPr>
              <w:snapToGrid w:val="0"/>
              <w:spacing w:before="100" w:beforeAutospacing="1" w:after="120"/>
            </w:pPr>
          </w:p>
        </w:tc>
      </w:tr>
    </w:tbl>
    <w:p>
      <w:pPr>
        <w:rPr>
          <w:lang w:eastAsia="en-GB"/>
        </w:rPr>
      </w:pPr>
    </w:p>
    <w:p>
      <w:pPr>
        <w:pStyle w:val="35"/>
        <w:numPr>
          <w:ilvl w:val="2"/>
          <w:numId w:val="7"/>
        </w:numPr>
        <w:snapToGrid w:val="0"/>
        <w:spacing w:before="120" w:beforeLines="50" w:line="288" w:lineRule="auto"/>
        <w:ind w:firstLineChars="0"/>
        <w:outlineLvl w:val="2"/>
        <w:rPr>
          <w:rFonts w:ascii="Arial" w:hAnsi="Arial" w:cs="Arial"/>
          <w:b/>
          <w:sz w:val="24"/>
          <w:szCs w:val="24"/>
        </w:rPr>
      </w:pPr>
      <w:r>
        <w:rPr>
          <w:rFonts w:ascii="Arial" w:hAnsi="Arial" w:cs="Arial"/>
          <w:b/>
          <w:sz w:val="24"/>
          <w:szCs w:val="24"/>
        </w:rPr>
        <w:t>Beam management</w:t>
      </w:r>
    </w:p>
    <w:p>
      <w:pPr>
        <w:spacing w:before="120" w:beforeLines="50" w:line="288" w:lineRule="auto"/>
      </w:pPr>
      <w:r>
        <w:t xml:space="preserve">In previous meetings, we have the following agreements related with data collection for </w:t>
      </w:r>
      <w:r>
        <w:rPr>
          <w:rFonts w:hint="eastAsia"/>
          <w:lang w:val="en-US" w:eastAsia="zh-CN"/>
        </w:rPr>
        <w:t>beam manage</w:t>
      </w:r>
      <w:r>
        <w:t>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20"/>
              <w:rPr>
                <w:b/>
                <w:iCs/>
                <w:highlight w:val="green"/>
                <w:lang w:eastAsia="zh-CN"/>
              </w:rPr>
            </w:pPr>
            <w:r>
              <w:rPr>
                <w:rFonts w:eastAsia="宋体"/>
                <w:b/>
                <w:iCs/>
                <w:kern w:val="2"/>
                <w:szCs w:val="22"/>
                <w:highlight w:val="green"/>
                <w:lang w:eastAsia="zh-CN"/>
              </w:rPr>
              <w:t>Agreement</w:t>
            </w:r>
          </w:p>
          <w:p>
            <w:pPr>
              <w:spacing w:after="120"/>
              <w:rPr>
                <w:b/>
                <w:i/>
                <w:lang w:eastAsia="zh-CN"/>
              </w:rPr>
            </w:pPr>
            <w:r>
              <w:rPr>
                <w:b/>
                <w:i/>
                <w:lang w:eastAsia="zh-CN"/>
              </w:rPr>
              <w:t xml:space="preserve">Regarding data collection for NW-side AI/ML model, study the following options (including the combination of options) for the contents of collected data, </w:t>
            </w:r>
          </w:p>
          <w:p>
            <w:pPr>
              <w:numPr>
                <w:ilvl w:val="0"/>
                <w:numId w:val="16"/>
              </w:numPr>
              <w:overflowPunct w:val="0"/>
              <w:autoSpaceDE w:val="0"/>
              <w:autoSpaceDN w:val="0"/>
              <w:adjustRightInd w:val="0"/>
              <w:spacing w:before="60" w:after="120" w:line="276" w:lineRule="auto"/>
              <w:ind w:left="210" w:leftChars="105"/>
              <w:contextualSpacing/>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pPr>
              <w:numPr>
                <w:ilvl w:val="1"/>
                <w:numId w:val="16"/>
              </w:numPr>
              <w:overflowPunct w:val="0"/>
              <w:autoSpaceDE w:val="0"/>
              <w:autoSpaceDN w:val="0"/>
              <w:adjustRightInd w:val="0"/>
              <w:spacing w:before="60" w:after="120" w:line="276" w:lineRule="auto"/>
              <w:ind w:left="930" w:leftChars="465"/>
              <w:contextualSpacing/>
              <w:textAlignment w:val="baseline"/>
              <w:rPr>
                <w:b/>
                <w:i/>
                <w:lang w:eastAsia="zh-CN"/>
              </w:rPr>
            </w:pPr>
            <w:r>
              <w:rPr>
                <w:rFonts w:hint="eastAsia"/>
                <w:b/>
                <w:i/>
                <w:lang w:eastAsia="zh-CN"/>
              </w:rPr>
              <w:t>F</w:t>
            </w:r>
            <w:r>
              <w:rPr>
                <w:b/>
                <w:i/>
                <w:lang w:eastAsia="zh-CN"/>
              </w:rPr>
              <w:t>FS: the range of M1</w:t>
            </w:r>
          </w:p>
          <w:p>
            <w:pPr>
              <w:numPr>
                <w:ilvl w:val="0"/>
                <w:numId w:val="16"/>
              </w:numPr>
              <w:overflowPunct w:val="0"/>
              <w:autoSpaceDE w:val="0"/>
              <w:autoSpaceDN w:val="0"/>
              <w:adjustRightInd w:val="0"/>
              <w:spacing w:before="60" w:after="120" w:line="276" w:lineRule="auto"/>
              <w:ind w:left="210" w:leftChars="105"/>
              <w:contextualSpacing/>
              <w:textAlignment w:val="baseline"/>
              <w:rPr>
                <w:b/>
                <w:i/>
                <w:lang w:eastAsia="zh-CN"/>
              </w:rPr>
            </w:pPr>
            <w:r>
              <w:rPr>
                <w:b/>
                <w:i/>
                <w:lang w:eastAsia="zh-CN"/>
              </w:rPr>
              <w:t>Opt.2: M2 L1-RSRPs (corresponding to M2 beams) based on the measurement corresponding to a beam set, where M2 can be larger than 4, if applicable</w:t>
            </w:r>
          </w:p>
          <w:p>
            <w:pPr>
              <w:numPr>
                <w:ilvl w:val="1"/>
                <w:numId w:val="16"/>
              </w:numPr>
              <w:overflowPunct w:val="0"/>
              <w:autoSpaceDE w:val="0"/>
              <w:autoSpaceDN w:val="0"/>
              <w:adjustRightInd w:val="0"/>
              <w:spacing w:before="60" w:after="120" w:line="276" w:lineRule="auto"/>
              <w:ind w:left="930" w:leftChars="465"/>
              <w:contextualSpacing/>
              <w:textAlignment w:val="baseline"/>
              <w:rPr>
                <w:b/>
                <w:i/>
                <w:lang w:eastAsia="zh-CN"/>
              </w:rPr>
            </w:pPr>
            <w:r>
              <w:rPr>
                <w:rFonts w:hint="eastAsia"/>
                <w:b/>
                <w:i/>
                <w:lang w:eastAsia="zh-CN"/>
              </w:rPr>
              <w:t>F</w:t>
            </w:r>
            <w:r>
              <w:rPr>
                <w:b/>
                <w:i/>
                <w:lang w:eastAsia="zh-CN"/>
              </w:rPr>
              <w:t>FS: the range of M2</w:t>
            </w:r>
          </w:p>
          <w:p>
            <w:pPr>
              <w:numPr>
                <w:ilvl w:val="0"/>
                <w:numId w:val="16"/>
              </w:numPr>
              <w:overflowPunct w:val="0"/>
              <w:autoSpaceDE w:val="0"/>
              <w:autoSpaceDN w:val="0"/>
              <w:adjustRightInd w:val="0"/>
              <w:spacing w:before="60" w:after="120" w:line="276" w:lineRule="auto"/>
              <w:ind w:left="210" w:leftChars="105"/>
              <w:contextualSpacing/>
              <w:textAlignment w:val="baseline"/>
              <w:rPr>
                <w:b/>
                <w:i/>
                <w:lang w:eastAsia="zh-CN"/>
              </w:rPr>
            </w:pPr>
            <w:r>
              <w:rPr>
                <w:b/>
                <w:i/>
                <w:lang w:eastAsia="zh-CN"/>
              </w:rPr>
              <w:t>Opt.3: M3 beam (beam pair) indices based on the measurement corresponding to a beam set, where M3 can be larger than 4, if applicable</w:t>
            </w:r>
          </w:p>
          <w:p>
            <w:pPr>
              <w:numPr>
                <w:ilvl w:val="1"/>
                <w:numId w:val="16"/>
              </w:numPr>
              <w:overflowPunct w:val="0"/>
              <w:autoSpaceDE w:val="0"/>
              <w:autoSpaceDN w:val="0"/>
              <w:adjustRightInd w:val="0"/>
              <w:spacing w:before="60" w:after="120" w:line="276" w:lineRule="auto"/>
              <w:ind w:left="930" w:leftChars="465"/>
              <w:contextualSpacing/>
              <w:textAlignment w:val="baseline"/>
              <w:rPr>
                <w:b/>
                <w:i/>
                <w:lang w:eastAsia="zh-CN"/>
              </w:rPr>
            </w:pPr>
            <w:r>
              <w:rPr>
                <w:rFonts w:hint="eastAsia"/>
                <w:b/>
                <w:i/>
                <w:lang w:eastAsia="zh-CN"/>
              </w:rPr>
              <w:t>F</w:t>
            </w:r>
            <w:r>
              <w:rPr>
                <w:b/>
                <w:i/>
                <w:lang w:eastAsia="zh-CN"/>
              </w:rPr>
              <w:t>FS: the range of M3</w:t>
            </w:r>
          </w:p>
          <w:p>
            <w:pPr>
              <w:numPr>
                <w:ilvl w:val="0"/>
                <w:numId w:val="16"/>
              </w:numPr>
              <w:overflowPunct w:val="0"/>
              <w:autoSpaceDE w:val="0"/>
              <w:autoSpaceDN w:val="0"/>
              <w:adjustRightInd w:val="0"/>
              <w:spacing w:after="120" w:line="276" w:lineRule="auto"/>
              <w:ind w:left="210" w:leftChars="105"/>
              <w:textAlignment w:val="baseline"/>
              <w:rPr>
                <w:b/>
                <w:i/>
                <w:lang w:eastAsia="zh-CN"/>
              </w:rPr>
            </w:pPr>
            <w:r>
              <w:rPr>
                <w:b/>
                <w:bCs/>
                <w:i/>
                <w:iCs/>
              </w:rPr>
              <w:t>FFS: How to select the M1/M2/M3 beam(s) or beam pair(s)</w:t>
            </w:r>
          </w:p>
          <w:p>
            <w:pPr>
              <w:numPr>
                <w:ilvl w:val="0"/>
                <w:numId w:val="16"/>
              </w:numPr>
              <w:overflowPunct w:val="0"/>
              <w:autoSpaceDE w:val="0"/>
              <w:autoSpaceDN w:val="0"/>
              <w:adjustRightInd w:val="0"/>
              <w:spacing w:before="60" w:after="120" w:line="276" w:lineRule="auto"/>
              <w:ind w:left="210" w:leftChars="105"/>
              <w:contextualSpacing/>
              <w:textAlignment w:val="baseline"/>
              <w:rPr>
                <w:b/>
                <w:i/>
                <w:strike/>
                <w:lang w:eastAsia="zh-CN"/>
              </w:rPr>
            </w:pPr>
            <w:r>
              <w:rPr>
                <w:b/>
                <w:i/>
                <w:lang w:eastAsia="zh-CN"/>
              </w:rPr>
              <w:t>Note: Overhead, UE complexity and power consumption should be considered for the above options</w:t>
            </w:r>
          </w:p>
          <w:p>
            <w:pPr>
              <w:overflowPunct w:val="0"/>
              <w:autoSpaceDE w:val="0"/>
              <w:autoSpaceDN w:val="0"/>
              <w:adjustRightInd w:val="0"/>
              <w:spacing w:before="60" w:after="120" w:line="276" w:lineRule="auto"/>
              <w:ind w:left="210" w:leftChars="105"/>
              <w:contextualSpacing/>
              <w:textAlignment w:val="baseline"/>
              <w:rPr>
                <w:b/>
                <w:i/>
                <w:strike/>
                <w:lang w:eastAsia="zh-CN"/>
              </w:rPr>
            </w:pPr>
          </w:p>
          <w:p>
            <w:pPr>
              <w:rPr>
                <w:b/>
                <w:iCs/>
                <w:highlight w:val="green"/>
                <w:lang w:eastAsia="zh-CN"/>
              </w:rPr>
            </w:pPr>
            <w:r>
              <w:rPr>
                <w:b/>
                <w:iCs/>
                <w:highlight w:val="green"/>
                <w:lang w:eastAsia="zh-CN"/>
              </w:rPr>
              <w:t>Agreement</w:t>
            </w:r>
          </w:p>
          <w:p>
            <w:pPr>
              <w:rPr>
                <w:b/>
                <w:i/>
                <w:lang w:eastAsia="zh-CN"/>
              </w:rPr>
            </w:pPr>
            <w:r>
              <w:rPr>
                <w:b/>
                <w:i/>
                <w:lang w:eastAsia="zh-CN"/>
              </w:rPr>
              <w:t xml:space="preserve">Regarding data collection for NW-side AI/ML model, study necessity, benefits and beam-management-specific potential specification impact from RAN1 point of view on the following additional aspects </w:t>
            </w:r>
          </w:p>
          <w:p>
            <w:pPr>
              <w:numPr>
                <w:ilvl w:val="0"/>
                <w:numId w:val="16"/>
              </w:numPr>
              <w:overflowPunct w:val="0"/>
              <w:autoSpaceDE w:val="0"/>
              <w:autoSpaceDN w:val="0"/>
              <w:adjustRightInd w:val="0"/>
              <w:spacing w:before="60" w:after="120" w:line="276" w:lineRule="auto"/>
              <w:ind w:left="210" w:leftChars="105"/>
              <w:contextualSpacing/>
              <w:textAlignment w:val="baseline"/>
              <w:rPr>
                <w:b/>
                <w:i/>
                <w:lang w:eastAsia="zh-CN"/>
              </w:rPr>
            </w:pPr>
            <w:r>
              <w:rPr>
                <w:b/>
                <w:i/>
                <w:lang w:eastAsia="zh-CN"/>
              </w:rPr>
              <w:t>Mechanism related to the reporting</w:t>
            </w:r>
          </w:p>
          <w:p>
            <w:pPr>
              <w:numPr>
                <w:ilvl w:val="0"/>
                <w:numId w:val="16"/>
              </w:numPr>
              <w:overflowPunct w:val="0"/>
              <w:autoSpaceDE w:val="0"/>
              <w:autoSpaceDN w:val="0"/>
              <w:adjustRightInd w:val="0"/>
              <w:spacing w:before="60" w:after="120" w:line="276" w:lineRule="auto"/>
              <w:ind w:left="210" w:leftChars="105"/>
              <w:contextualSpacing/>
              <w:textAlignment w:val="baseline"/>
              <w:rPr>
                <w:b/>
                <w:i/>
                <w:lang w:eastAsia="zh-CN"/>
              </w:rPr>
            </w:pPr>
            <w:r>
              <w:rPr>
                <w:b/>
                <w:i/>
                <w:lang w:eastAsia="zh-CN"/>
              </w:rPr>
              <w:t>Additional information for content of the reporting</w:t>
            </w:r>
          </w:p>
          <w:p>
            <w:pPr>
              <w:numPr>
                <w:ilvl w:val="1"/>
                <w:numId w:val="16"/>
              </w:numPr>
              <w:overflowPunct w:val="0"/>
              <w:autoSpaceDE w:val="0"/>
              <w:autoSpaceDN w:val="0"/>
              <w:adjustRightInd w:val="0"/>
              <w:spacing w:before="60" w:after="120" w:line="276" w:lineRule="auto"/>
              <w:ind w:left="930" w:leftChars="465"/>
              <w:contextualSpacing/>
              <w:textAlignment w:val="baseline"/>
              <w:rPr>
                <w:b/>
                <w:i/>
                <w:lang w:eastAsia="zh-CN"/>
              </w:rPr>
            </w:pPr>
            <w:r>
              <w:rPr>
                <w:b/>
                <w:i/>
                <w:lang w:eastAsia="zh-CN"/>
              </w:rPr>
              <w:t>FFS:  Information associated with or configured for the reported data samples, e.g., timestamps, SNR, data quality, etc.</w:t>
            </w:r>
          </w:p>
          <w:p>
            <w:pPr>
              <w:numPr>
                <w:ilvl w:val="0"/>
                <w:numId w:val="16"/>
              </w:numPr>
              <w:overflowPunct w:val="0"/>
              <w:autoSpaceDE w:val="0"/>
              <w:autoSpaceDN w:val="0"/>
              <w:adjustRightInd w:val="0"/>
              <w:spacing w:before="60" w:after="120" w:line="276" w:lineRule="auto"/>
              <w:ind w:left="210" w:leftChars="105"/>
              <w:contextualSpacing/>
              <w:textAlignment w:val="baseline"/>
              <w:rPr>
                <w:b/>
                <w:i/>
                <w:lang w:eastAsia="zh-CN"/>
              </w:rPr>
            </w:pPr>
            <w:r>
              <w:rPr>
                <w:b/>
                <w:i/>
                <w:lang w:eastAsia="zh-CN"/>
              </w:rPr>
              <w:t>Reporting overhead reduction</w:t>
            </w:r>
          </w:p>
          <w:p>
            <w:pPr>
              <w:numPr>
                <w:ilvl w:val="0"/>
                <w:numId w:val="16"/>
              </w:numPr>
              <w:overflowPunct w:val="0"/>
              <w:autoSpaceDE w:val="0"/>
              <w:autoSpaceDN w:val="0"/>
              <w:adjustRightInd w:val="0"/>
              <w:spacing w:before="60" w:after="120" w:line="276" w:lineRule="auto"/>
              <w:ind w:left="210" w:leftChars="105"/>
              <w:contextualSpacing/>
              <w:textAlignment w:val="baseline"/>
              <w:rPr>
                <w:b/>
                <w:i/>
                <w:lang w:eastAsia="zh-CN"/>
              </w:rPr>
            </w:pPr>
            <w:r>
              <w:rPr>
                <w:b/>
                <w:i/>
                <w:lang w:eastAsia="zh-CN"/>
              </w:rPr>
              <w:t xml:space="preserve">Note1: non-3GPP based solution is a separate issue. </w:t>
            </w:r>
          </w:p>
          <w:p>
            <w:pPr>
              <w:numPr>
                <w:ilvl w:val="0"/>
                <w:numId w:val="16"/>
              </w:numPr>
              <w:overflowPunct w:val="0"/>
              <w:autoSpaceDE w:val="0"/>
              <w:autoSpaceDN w:val="0"/>
              <w:adjustRightInd w:val="0"/>
              <w:spacing w:before="60" w:after="120" w:line="276" w:lineRule="auto"/>
              <w:ind w:left="210" w:leftChars="105"/>
              <w:contextualSpacing/>
              <w:textAlignment w:val="baseline"/>
              <w:rPr>
                <w:b/>
                <w:i/>
                <w:lang w:eastAsia="zh-CN"/>
              </w:rPr>
            </w:pPr>
            <w:r>
              <w:rPr>
                <w:b/>
                <w:i/>
                <w:lang w:eastAsia="zh-CN"/>
              </w:rPr>
              <w:t>Note2: The framework corresponding to higher layer(s) are up to the associated WG(s)</w:t>
            </w:r>
          </w:p>
          <w:p>
            <w:pPr>
              <w:numPr>
                <w:ilvl w:val="0"/>
                <w:numId w:val="16"/>
              </w:numPr>
              <w:overflowPunct w:val="0"/>
              <w:autoSpaceDE w:val="0"/>
              <w:autoSpaceDN w:val="0"/>
              <w:adjustRightInd w:val="0"/>
              <w:spacing w:before="60" w:after="120" w:line="276" w:lineRule="auto"/>
              <w:ind w:left="210" w:leftChars="105"/>
              <w:contextualSpacing/>
              <w:textAlignment w:val="baseline"/>
              <w:rPr>
                <w:b/>
                <w:i/>
                <w:lang w:eastAsia="zh-CN"/>
              </w:rPr>
            </w:pPr>
            <w:r>
              <w:rPr>
                <w:b/>
                <w:i/>
                <w:lang w:eastAsia="zh-CN"/>
              </w:rPr>
              <w:t xml:space="preserve">Note 3: Overhead, UE complexity and power consumption should be considered </w:t>
            </w:r>
          </w:p>
          <w:p>
            <w:pPr>
              <w:overflowPunct w:val="0"/>
              <w:autoSpaceDE w:val="0"/>
              <w:autoSpaceDN w:val="0"/>
              <w:adjustRightInd w:val="0"/>
              <w:spacing w:before="60" w:after="120" w:line="276" w:lineRule="auto"/>
              <w:ind w:left="210" w:leftChars="105"/>
              <w:contextualSpacing/>
              <w:textAlignment w:val="baseline"/>
              <w:rPr>
                <w:b/>
                <w:i/>
                <w:lang w:eastAsia="zh-CN"/>
              </w:rPr>
            </w:pPr>
          </w:p>
          <w:p>
            <w:pPr>
              <w:rPr>
                <w:highlight w:val="green"/>
                <w:lang w:eastAsia="zh-CN"/>
              </w:rPr>
            </w:pPr>
            <w:r>
              <w:rPr>
                <w:rFonts w:hint="eastAsia"/>
                <w:highlight w:val="green"/>
                <w:lang w:eastAsia="zh-CN"/>
              </w:rPr>
              <w:t>A</w:t>
            </w:r>
            <w:r>
              <w:rPr>
                <w:highlight w:val="green"/>
                <w:lang w:eastAsia="zh-CN"/>
              </w:rPr>
              <w:t>greement</w:t>
            </w:r>
          </w:p>
          <w:p>
            <w:pPr>
              <w:rPr>
                <w:bCs/>
                <w:iCs/>
                <w:lang w:eastAsia="zh-CN"/>
              </w:rPr>
            </w:pPr>
            <w:r>
              <w:rPr>
                <w:bCs/>
                <w:iCs/>
                <w:lang w:eastAsia="zh-CN"/>
              </w:rPr>
              <w:t>Regarding data collection for BM-Case1 and BM-Case2 with a UE-side AI/ML model, study the benefits, necessity and potential specification impact of the following aspect on top of those we have agreed in previous meeting:</w:t>
            </w:r>
          </w:p>
          <w:p>
            <w:pPr>
              <w:numPr>
                <w:ilvl w:val="0"/>
                <w:numId w:val="17"/>
              </w:numPr>
              <w:spacing w:line="276" w:lineRule="auto"/>
              <w:contextualSpacing/>
              <w:jc w:val="both"/>
              <w:rPr>
                <w:b/>
                <w:i/>
                <w:lang w:eastAsia="zh-CN"/>
              </w:rPr>
            </w:pPr>
            <w:r>
              <w:rPr>
                <w:bCs/>
                <w:iCs/>
                <w:lang w:eastAsia="zh-CN"/>
              </w:rPr>
              <w:t>Assistance information from NW to UE for UE data collection for categorizing the data for the purpose of differentiating characteristics of data.</w:t>
            </w:r>
          </w:p>
          <w:p>
            <w:pPr>
              <w:numPr>
                <w:ilvl w:val="0"/>
                <w:numId w:val="17"/>
              </w:numPr>
              <w:spacing w:line="276" w:lineRule="auto"/>
              <w:contextualSpacing/>
              <w:jc w:val="both"/>
              <w:rPr>
                <w:sz w:val="21"/>
                <w:szCs w:val="21"/>
              </w:rPr>
            </w:pPr>
            <w:r>
              <w:rPr>
                <w:bCs/>
                <w:iCs/>
                <w:lang w:eastAsia="zh-CN"/>
              </w:rPr>
              <w:t>The assistance information should preserve privacy/proprietary information.</w:t>
            </w:r>
          </w:p>
        </w:tc>
      </w:tr>
    </w:tbl>
    <w:p>
      <w:pPr>
        <w:spacing w:before="120" w:beforeLines="50" w:line="288" w:lineRule="auto"/>
        <w:jc w:val="both"/>
      </w:pPr>
      <w:r>
        <w:t xml:space="preserve">Based on the above agreements in previous meetings, regarding </w:t>
      </w:r>
      <w:r>
        <w:rPr>
          <w:rFonts w:hint="eastAsia"/>
          <w:lang w:val="en-US" w:eastAsia="zh-CN"/>
        </w:rPr>
        <w:t>beam manage</w:t>
      </w:r>
      <w:r>
        <w:t>ment, we have the following tables as the replies to Part B in LS.</w:t>
      </w:r>
    </w:p>
    <w:p>
      <w:pPr>
        <w:rPr>
          <w:b/>
          <w:i/>
          <w:lang w:eastAsia="zh-CN"/>
        </w:rPr>
      </w:pPr>
      <w:r>
        <w:rPr>
          <w:b/>
          <w:i/>
          <w:u w:val="single"/>
          <w:lang w:eastAsia="zh-CN"/>
        </w:rPr>
        <w:t xml:space="preserve">Proposal </w:t>
      </w:r>
      <w:r>
        <w:rPr>
          <w:rFonts w:hint="eastAsia"/>
          <w:b/>
          <w:i/>
          <w:u w:val="single"/>
          <w:lang w:val="en-US" w:eastAsia="zh-CN"/>
        </w:rPr>
        <w:t>3</w:t>
      </w:r>
      <w:r>
        <w:rPr>
          <w:b/>
          <w:i/>
          <w:lang w:eastAsia="zh-CN"/>
        </w:rPr>
        <w:t xml:space="preserve">: </w:t>
      </w:r>
      <w:r>
        <w:rPr>
          <w:b/>
          <w:i/>
        </w:rPr>
        <w:t xml:space="preserve">Regarding </w:t>
      </w:r>
      <w:r>
        <w:rPr>
          <w:rFonts w:hint="eastAsia"/>
          <w:b/>
          <w:i/>
        </w:rPr>
        <w:t>beam management</w:t>
      </w:r>
      <w:r>
        <w:rPr>
          <w:b/>
          <w:i/>
        </w:rPr>
        <w:t>,</w:t>
      </w:r>
      <w:r>
        <w:rPr>
          <w:rFonts w:hint="eastAsia"/>
          <w:b/>
          <w:i/>
          <w:lang w:eastAsia="zh-CN"/>
        </w:rPr>
        <w:t xml:space="preserve"> </w:t>
      </w:r>
      <w:r>
        <w:rPr>
          <w:b/>
          <w:i/>
          <w:lang w:eastAsia="zh-CN"/>
        </w:rPr>
        <w:t>p</w:t>
      </w:r>
      <w:r>
        <w:rPr>
          <w:rFonts w:hint="eastAsia"/>
          <w:b/>
          <w:i/>
          <w:lang w:eastAsia="zh-CN"/>
        </w:rPr>
        <w:t>ro</w:t>
      </w:r>
      <w:r>
        <w:rPr>
          <w:b/>
          <w:i/>
          <w:lang w:eastAsia="zh-CN"/>
        </w:rPr>
        <w:t xml:space="preserve">vide the following Table </w:t>
      </w:r>
      <w:r>
        <w:rPr>
          <w:rFonts w:hint="eastAsia"/>
          <w:b/>
          <w:i/>
          <w:lang w:val="en-US" w:eastAsia="zh-CN"/>
        </w:rPr>
        <w:t>3</w:t>
      </w:r>
      <w:r>
        <w:rPr>
          <w:b/>
          <w:i/>
          <w:lang w:eastAsia="zh-CN"/>
        </w:rPr>
        <w:t xml:space="preserve"> as the replies to Part B.</w:t>
      </w:r>
    </w:p>
    <w:p>
      <w:pPr>
        <w:rPr>
          <w:kern w:val="2"/>
          <w:lang w:eastAsia="zh-CN"/>
        </w:rPr>
      </w:pPr>
    </w:p>
    <w:p>
      <w:pPr>
        <w:pStyle w:val="11"/>
      </w:pPr>
      <w:r>
        <w:rPr>
          <w:rFonts w:hint="eastAsia"/>
        </w:rPr>
        <w:t>T</w:t>
      </w:r>
      <w:r>
        <w:t xml:space="preserve">able </w:t>
      </w:r>
      <w:r>
        <w:rPr>
          <w:rFonts w:hint="eastAsia"/>
          <w:lang w:eastAsia="zh-CN"/>
        </w:rPr>
        <w:t>3</w:t>
      </w:r>
      <w:r>
        <w:t xml:space="preserve"> Data collection requirements for </w:t>
      </w:r>
      <w:r>
        <w:rPr>
          <w:rFonts w:hint="eastAsia"/>
          <w:lang w:eastAsia="zh-CN"/>
        </w:rPr>
        <w:t>beam manage</w:t>
      </w:r>
      <w:r>
        <w:t>ment</w:t>
      </w:r>
    </w:p>
    <w:tbl>
      <w:tblPr>
        <w:tblStyle w:val="69"/>
        <w:tblW w:w="1008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3"/>
        <w:gridCol w:w="1170"/>
        <w:gridCol w:w="1957"/>
        <w:gridCol w:w="1193"/>
        <w:gridCol w:w="1507"/>
        <w:gridCol w:w="990"/>
        <w:gridCol w:w="90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trPr>
        <w:tc>
          <w:tcPr>
            <w:tcW w:w="1193" w:type="dxa"/>
            <w:vAlign w:val="center"/>
          </w:tcPr>
          <w:p>
            <w:pPr>
              <w:spacing w:before="120" w:line="312" w:lineRule="auto"/>
              <w:jc w:val="both"/>
              <w:rPr>
                <w:rFonts w:eastAsia="宋体"/>
                <w:b/>
                <w:lang w:eastAsia="ko-KR"/>
              </w:rPr>
            </w:pPr>
            <w:r>
              <w:rPr>
                <w:rFonts w:eastAsia="宋体"/>
                <w:b/>
                <w:bCs/>
                <w:lang w:eastAsia="ko-KR"/>
              </w:rPr>
              <w:t>LCM purpose</w:t>
            </w:r>
          </w:p>
        </w:tc>
        <w:tc>
          <w:tcPr>
            <w:tcW w:w="1170" w:type="dxa"/>
            <w:vAlign w:val="center"/>
          </w:tcPr>
          <w:p>
            <w:pPr>
              <w:spacing w:before="120" w:line="312" w:lineRule="auto"/>
              <w:jc w:val="both"/>
              <w:rPr>
                <w:rFonts w:eastAsia="宋体"/>
                <w:b/>
                <w:bCs/>
                <w:lang w:eastAsia="ko-KR"/>
              </w:rPr>
            </w:pPr>
            <w:r>
              <w:rPr>
                <w:rFonts w:eastAsia="宋体"/>
                <w:b/>
                <w:bCs/>
                <w:lang w:eastAsia="ko-KR"/>
              </w:rPr>
              <w:t>UE-side/NW-side models</w:t>
            </w:r>
          </w:p>
        </w:tc>
        <w:tc>
          <w:tcPr>
            <w:tcW w:w="1957" w:type="dxa"/>
            <w:vAlign w:val="center"/>
          </w:tcPr>
          <w:p>
            <w:pPr>
              <w:spacing w:before="120" w:line="312" w:lineRule="auto"/>
              <w:jc w:val="both"/>
              <w:rPr>
                <w:rFonts w:eastAsia="宋体"/>
                <w:b/>
                <w:lang w:eastAsia="ko-KR"/>
              </w:rPr>
            </w:pPr>
            <w:r>
              <w:rPr>
                <w:rFonts w:eastAsia="宋体"/>
                <w:b/>
                <w:lang w:eastAsia="ko-KR"/>
              </w:rPr>
              <w:t>Data content</w:t>
            </w:r>
          </w:p>
        </w:tc>
        <w:tc>
          <w:tcPr>
            <w:tcW w:w="1193" w:type="dxa"/>
            <w:vAlign w:val="center"/>
          </w:tcPr>
          <w:p>
            <w:pPr>
              <w:spacing w:before="120" w:line="312" w:lineRule="auto"/>
              <w:jc w:val="both"/>
              <w:rPr>
                <w:rFonts w:eastAsia="宋体"/>
                <w:b/>
                <w:lang w:eastAsia="ko-KR"/>
              </w:rPr>
            </w:pPr>
            <w:r>
              <w:rPr>
                <w:rFonts w:eastAsia="宋体"/>
                <w:b/>
                <w:bCs/>
                <w:lang w:eastAsia="ko-KR"/>
              </w:rPr>
              <w:t>Data transfer direction</w:t>
            </w:r>
          </w:p>
        </w:tc>
        <w:tc>
          <w:tcPr>
            <w:tcW w:w="1507" w:type="dxa"/>
            <w:vAlign w:val="center"/>
          </w:tcPr>
          <w:p>
            <w:pPr>
              <w:spacing w:before="120" w:line="312" w:lineRule="auto"/>
              <w:jc w:val="both"/>
              <w:rPr>
                <w:rFonts w:eastAsia="宋体"/>
                <w:b/>
                <w:lang w:eastAsia="ko-KR"/>
              </w:rPr>
            </w:pPr>
            <w:r>
              <w:rPr>
                <w:rFonts w:eastAsia="宋体"/>
                <w:b/>
                <w:bCs/>
                <w:lang w:eastAsia="ko-KR"/>
              </w:rPr>
              <w:t>Typical data size (per sample)</w:t>
            </w:r>
          </w:p>
        </w:tc>
        <w:tc>
          <w:tcPr>
            <w:tcW w:w="990" w:type="dxa"/>
            <w:vAlign w:val="center"/>
          </w:tcPr>
          <w:p>
            <w:pPr>
              <w:spacing w:before="120" w:line="312" w:lineRule="auto"/>
              <w:jc w:val="both"/>
              <w:rPr>
                <w:rFonts w:eastAsia="宋体"/>
                <w:b/>
                <w:lang w:eastAsia="ko-KR"/>
              </w:rPr>
            </w:pPr>
            <w:r>
              <w:rPr>
                <w:rFonts w:eastAsia="宋体"/>
                <w:b/>
                <w:bCs/>
                <w:lang w:eastAsia="ko-KR"/>
              </w:rPr>
              <w:t>Reporting type</w:t>
            </w:r>
          </w:p>
        </w:tc>
        <w:tc>
          <w:tcPr>
            <w:tcW w:w="900" w:type="dxa"/>
            <w:vAlign w:val="center"/>
          </w:tcPr>
          <w:p>
            <w:pPr>
              <w:spacing w:before="120" w:line="312" w:lineRule="auto"/>
              <w:jc w:val="both"/>
              <w:rPr>
                <w:rFonts w:eastAsia="宋体"/>
                <w:b/>
                <w:lang w:eastAsia="ko-KR"/>
              </w:rPr>
            </w:pPr>
            <w:r>
              <w:rPr>
                <w:rFonts w:eastAsia="宋体"/>
                <w:b/>
                <w:lang w:eastAsia="ko-KR"/>
              </w:rPr>
              <w:t>Typical latency requirement</w:t>
            </w:r>
          </w:p>
        </w:tc>
        <w:tc>
          <w:tcPr>
            <w:tcW w:w="1170" w:type="dxa"/>
            <w:vAlign w:val="center"/>
          </w:tcPr>
          <w:p>
            <w:pPr>
              <w:spacing w:before="120" w:line="312" w:lineRule="auto"/>
              <w:jc w:val="both"/>
              <w:rPr>
                <w:rFonts w:eastAsia="宋体"/>
                <w:b/>
                <w:bCs/>
                <w:lang w:eastAsia="ko-KR"/>
              </w:rPr>
            </w:pPr>
            <w:r>
              <w:rPr>
                <w:rFonts w:eastAsia="宋体"/>
                <w:b/>
                <w:bCs/>
                <w:lang w:eastAsia="ko-KR"/>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1193" w:type="dxa"/>
            <w:vMerge w:val="restart"/>
            <w:vAlign w:val="center"/>
          </w:tcPr>
          <w:p>
            <w:pPr>
              <w:spacing w:before="120" w:line="312" w:lineRule="auto"/>
              <w:jc w:val="both"/>
              <w:rPr>
                <w:rFonts w:eastAsia="宋体"/>
                <w:lang w:eastAsia="ko-KR"/>
              </w:rPr>
            </w:pPr>
            <w:r>
              <w:rPr>
                <w:rFonts w:eastAsia="宋体"/>
                <w:lang w:eastAsia="ko-KR"/>
              </w:rPr>
              <w:t>model training</w:t>
            </w:r>
          </w:p>
        </w:tc>
        <w:tc>
          <w:tcPr>
            <w:tcW w:w="1170" w:type="dxa"/>
            <w:vAlign w:val="center"/>
          </w:tcPr>
          <w:p>
            <w:pPr>
              <w:spacing w:before="120" w:line="312" w:lineRule="auto"/>
              <w:jc w:val="both"/>
              <w:rPr>
                <w:rFonts w:eastAsia="宋体"/>
                <w:lang w:eastAsia="ko-KR"/>
              </w:rPr>
            </w:pPr>
            <w:r>
              <w:rPr>
                <w:rFonts w:eastAsia="宋体"/>
                <w:lang w:eastAsia="ko-KR"/>
              </w:rPr>
              <w:t>UE-side</w:t>
            </w:r>
          </w:p>
        </w:tc>
        <w:tc>
          <w:tcPr>
            <w:tcW w:w="1957" w:type="dxa"/>
            <w:vAlign w:val="center"/>
          </w:tcPr>
          <w:p>
            <w:pPr>
              <w:spacing w:before="120" w:line="312" w:lineRule="auto"/>
              <w:jc w:val="both"/>
              <w:rPr>
                <w:rFonts w:eastAsia="宋体"/>
                <w:lang w:eastAsia="ko-KR"/>
              </w:rPr>
            </w:pPr>
            <w:r>
              <w:rPr>
                <w:rFonts w:eastAsia="宋体"/>
                <w:lang w:eastAsia="ko-KR"/>
              </w:rPr>
              <w:t>For Set B: L1-RSRPs [and beam-IDs]</w:t>
            </w:r>
          </w:p>
          <w:p>
            <w:pPr>
              <w:spacing w:before="120" w:line="312" w:lineRule="auto"/>
              <w:jc w:val="both"/>
              <w:rPr>
                <w:rFonts w:eastAsia="宋体"/>
                <w:lang w:eastAsia="ko-KR"/>
              </w:rPr>
            </w:pPr>
            <w:r>
              <w:rPr>
                <w:rFonts w:eastAsia="宋体"/>
                <w:lang w:eastAsia="ko-KR"/>
              </w:rPr>
              <w:t>For Set A: L1-RSRPs and/or beam-IDs</w:t>
            </w:r>
          </w:p>
        </w:tc>
        <w:tc>
          <w:tcPr>
            <w:tcW w:w="1193" w:type="dxa"/>
            <w:vAlign w:val="center"/>
          </w:tcPr>
          <w:p>
            <w:pPr>
              <w:spacing w:before="120" w:line="312" w:lineRule="auto"/>
              <w:jc w:val="both"/>
              <w:rPr>
                <w:rFonts w:eastAsia="宋体"/>
                <w:lang w:eastAsia="ko-KR"/>
              </w:rPr>
            </w:pPr>
            <w:r>
              <w:rPr>
                <w:rFonts w:eastAsia="宋体"/>
                <w:lang w:eastAsia="ko-KR"/>
              </w:rPr>
              <w:t>From UE</w:t>
            </w:r>
          </w:p>
          <w:p>
            <w:pPr>
              <w:spacing w:before="120" w:line="312" w:lineRule="auto"/>
              <w:jc w:val="both"/>
              <w:rPr>
                <w:rFonts w:eastAsia="宋体"/>
                <w:lang w:eastAsia="ko-KR"/>
              </w:rPr>
            </w:pPr>
          </w:p>
        </w:tc>
        <w:tc>
          <w:tcPr>
            <w:tcW w:w="1507" w:type="dxa"/>
            <w:vAlign w:val="center"/>
          </w:tcPr>
          <w:p>
            <w:pPr>
              <w:spacing w:before="120" w:line="312" w:lineRule="auto"/>
              <w:jc w:val="both"/>
              <w:rPr>
                <w:rFonts w:eastAsia="宋体"/>
                <w:lang w:eastAsia="ko-KR"/>
              </w:rPr>
            </w:pPr>
            <w:r>
              <w:rPr>
                <w:rFonts w:eastAsia="宋体"/>
                <w:lang w:eastAsia="ko-KR"/>
              </w:rPr>
              <w:t>Up to ~500 bits for RSRPs</w:t>
            </w:r>
          </w:p>
          <w:p>
            <w:pPr>
              <w:spacing w:before="120" w:line="312" w:lineRule="auto"/>
              <w:jc w:val="both"/>
              <w:rPr>
                <w:rFonts w:eastAsia="宋体"/>
                <w:lang w:eastAsia="ko-KR"/>
              </w:rPr>
            </w:pPr>
            <w:r>
              <w:rPr>
                <w:rFonts w:eastAsia="宋体"/>
                <w:lang w:eastAsia="ko-KR"/>
              </w:rPr>
              <w:t>Up to ~100 bits for beam IDs.</w:t>
            </w:r>
          </w:p>
        </w:tc>
        <w:tc>
          <w:tcPr>
            <w:tcW w:w="990" w:type="dxa"/>
            <w:vAlign w:val="center"/>
          </w:tcPr>
          <w:p>
            <w:pPr>
              <w:spacing w:before="120" w:line="312" w:lineRule="auto"/>
              <w:jc w:val="both"/>
              <w:rPr>
                <w:rFonts w:eastAsia="宋体"/>
                <w:lang w:eastAsia="ko-KR"/>
              </w:rPr>
            </w:pPr>
            <w:r>
              <w:rPr>
                <w:rFonts w:eastAsia="宋体"/>
                <w:lang w:eastAsia="ko-KR"/>
              </w:rPr>
              <w:t>No agreement</w:t>
            </w:r>
          </w:p>
        </w:tc>
        <w:tc>
          <w:tcPr>
            <w:tcW w:w="900" w:type="dxa"/>
            <w:vAlign w:val="center"/>
          </w:tcPr>
          <w:p>
            <w:pPr>
              <w:spacing w:before="120" w:line="312" w:lineRule="auto"/>
              <w:jc w:val="both"/>
              <w:rPr>
                <w:rFonts w:eastAsia="宋体"/>
                <w:lang w:eastAsia="ko-KR"/>
              </w:rPr>
            </w:pPr>
            <w:r>
              <w:rPr>
                <w:rFonts w:eastAsia="宋体"/>
                <w:lang w:eastAsia="ko-KR"/>
              </w:rPr>
              <w:t>Relaxed</w:t>
            </w:r>
          </w:p>
        </w:tc>
        <w:tc>
          <w:tcPr>
            <w:tcW w:w="1170" w:type="dxa"/>
            <w:vAlign w:val="center"/>
          </w:tcPr>
          <w:p>
            <w:pPr>
              <w:spacing w:before="120" w:line="312" w:lineRule="auto"/>
              <w:jc w:val="both"/>
              <w:rPr>
                <w:rFonts w:eastAsia="宋体"/>
                <w:lang w:eastAsia="ko-KR"/>
              </w:rPr>
            </w:pPr>
          </w:p>
          <w:p>
            <w:pPr>
              <w:spacing w:before="120" w:line="312" w:lineRule="auto"/>
              <w:jc w:val="both"/>
              <w:rPr>
                <w:rFonts w:eastAsia="宋体"/>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1" w:hRule="atLeast"/>
        </w:trPr>
        <w:tc>
          <w:tcPr>
            <w:tcW w:w="1193" w:type="dxa"/>
            <w:vMerge w:val="continue"/>
            <w:vAlign w:val="center"/>
          </w:tcPr>
          <w:p>
            <w:pPr>
              <w:spacing w:before="120" w:line="312" w:lineRule="auto"/>
              <w:jc w:val="both"/>
              <w:rPr>
                <w:rFonts w:eastAsia="宋体"/>
                <w:lang w:eastAsia="ko-KR"/>
              </w:rPr>
            </w:pPr>
          </w:p>
        </w:tc>
        <w:tc>
          <w:tcPr>
            <w:tcW w:w="1170" w:type="dxa"/>
            <w:vAlign w:val="center"/>
          </w:tcPr>
          <w:p>
            <w:pPr>
              <w:spacing w:before="120" w:line="312" w:lineRule="auto"/>
              <w:jc w:val="both"/>
              <w:rPr>
                <w:rFonts w:eastAsia="宋体"/>
                <w:lang w:eastAsia="ko-KR"/>
              </w:rPr>
            </w:pPr>
            <w:r>
              <w:rPr>
                <w:rFonts w:eastAsia="宋体"/>
                <w:lang w:eastAsia="ko-KR"/>
              </w:rPr>
              <w:t>NW-side</w:t>
            </w:r>
          </w:p>
        </w:tc>
        <w:tc>
          <w:tcPr>
            <w:tcW w:w="1957" w:type="dxa"/>
            <w:vAlign w:val="center"/>
          </w:tcPr>
          <w:p>
            <w:pPr>
              <w:tabs>
                <w:tab w:val="left" w:pos="1440"/>
              </w:tabs>
              <w:spacing w:line="276" w:lineRule="auto"/>
              <w:contextualSpacing/>
              <w:jc w:val="both"/>
              <w:rPr>
                <w:rFonts w:eastAsia="Batang"/>
                <w:kern w:val="24"/>
                <w:lang w:eastAsia="ko-KR"/>
              </w:rPr>
            </w:pPr>
            <w:r>
              <w:rPr>
                <w:rFonts w:eastAsia="Batang"/>
                <w:kern w:val="24"/>
                <w:lang w:eastAsia="ko-KR"/>
              </w:rPr>
              <w:t>For Set B: L1-RSRPs [and beam-IDs]</w:t>
            </w:r>
          </w:p>
          <w:p>
            <w:pPr>
              <w:spacing w:line="276" w:lineRule="auto"/>
              <w:contextualSpacing/>
              <w:jc w:val="both"/>
              <w:rPr>
                <w:rFonts w:eastAsia="Batang"/>
                <w:kern w:val="24"/>
                <w:lang w:eastAsia="ko-KR"/>
              </w:rPr>
            </w:pPr>
          </w:p>
          <w:p>
            <w:pPr>
              <w:spacing w:line="276" w:lineRule="auto"/>
              <w:contextualSpacing/>
              <w:jc w:val="both"/>
              <w:rPr>
                <w:rFonts w:eastAsia="宋体"/>
                <w:lang w:eastAsia="ko-KR"/>
              </w:rPr>
            </w:pPr>
            <w:r>
              <w:rPr>
                <w:rFonts w:eastAsia="Batang"/>
                <w:kern w:val="24"/>
                <w:lang w:eastAsia="ko-KR"/>
              </w:rPr>
              <w:t>For Set A: L1-RSRPs and/or beam-IDs</w:t>
            </w:r>
          </w:p>
        </w:tc>
        <w:tc>
          <w:tcPr>
            <w:tcW w:w="1193" w:type="dxa"/>
            <w:vAlign w:val="center"/>
          </w:tcPr>
          <w:p>
            <w:pPr>
              <w:spacing w:before="120" w:line="312" w:lineRule="auto"/>
              <w:jc w:val="both"/>
              <w:rPr>
                <w:rFonts w:eastAsia="宋体"/>
                <w:lang w:eastAsia="ko-KR"/>
              </w:rPr>
            </w:pPr>
            <w:r>
              <w:rPr>
                <w:rFonts w:eastAsia="宋体"/>
                <w:lang w:eastAsia="ko-KR"/>
              </w:rPr>
              <w:t>From UE</w:t>
            </w:r>
          </w:p>
        </w:tc>
        <w:tc>
          <w:tcPr>
            <w:tcW w:w="1507" w:type="dxa"/>
            <w:vAlign w:val="center"/>
          </w:tcPr>
          <w:p>
            <w:pPr>
              <w:spacing w:before="120" w:line="312" w:lineRule="auto"/>
              <w:jc w:val="both"/>
              <w:rPr>
                <w:rFonts w:eastAsia="宋体"/>
                <w:lang w:eastAsia="ko-KR"/>
              </w:rPr>
            </w:pPr>
            <w:r>
              <w:rPr>
                <w:rFonts w:eastAsia="宋体"/>
                <w:lang w:eastAsia="ko-KR"/>
              </w:rPr>
              <w:t>Up to ~500 bits for RSRPs</w:t>
            </w:r>
          </w:p>
          <w:p>
            <w:pPr>
              <w:spacing w:before="120" w:line="312" w:lineRule="auto"/>
              <w:jc w:val="both"/>
              <w:rPr>
                <w:rFonts w:eastAsia="宋体"/>
                <w:lang w:eastAsia="ko-KR"/>
              </w:rPr>
            </w:pPr>
            <w:r>
              <w:rPr>
                <w:rFonts w:eastAsia="宋体"/>
                <w:lang w:eastAsia="ko-KR"/>
              </w:rPr>
              <w:t>Up to ~100 bits for beam IDs.</w:t>
            </w:r>
          </w:p>
        </w:tc>
        <w:tc>
          <w:tcPr>
            <w:tcW w:w="990" w:type="dxa"/>
            <w:vAlign w:val="center"/>
          </w:tcPr>
          <w:p>
            <w:pPr>
              <w:spacing w:before="120" w:line="312" w:lineRule="auto"/>
              <w:jc w:val="both"/>
              <w:rPr>
                <w:rFonts w:eastAsia="宋体"/>
                <w:lang w:eastAsia="ko-KR"/>
              </w:rPr>
            </w:pPr>
            <w:r>
              <w:rPr>
                <w:rFonts w:eastAsia="宋体"/>
                <w:lang w:eastAsia="ko-KR"/>
              </w:rPr>
              <w:t>No agreement</w:t>
            </w:r>
          </w:p>
        </w:tc>
        <w:tc>
          <w:tcPr>
            <w:tcW w:w="900" w:type="dxa"/>
            <w:vAlign w:val="center"/>
          </w:tcPr>
          <w:p>
            <w:pPr>
              <w:spacing w:before="120" w:line="312" w:lineRule="auto"/>
              <w:jc w:val="both"/>
              <w:rPr>
                <w:rFonts w:eastAsia="宋体"/>
                <w:lang w:eastAsia="ko-KR"/>
              </w:rPr>
            </w:pPr>
            <w:r>
              <w:rPr>
                <w:rFonts w:eastAsia="宋体"/>
                <w:lang w:eastAsia="ko-KR"/>
              </w:rPr>
              <w:t>Relaxed</w:t>
            </w:r>
          </w:p>
        </w:tc>
        <w:tc>
          <w:tcPr>
            <w:tcW w:w="1170" w:type="dxa"/>
            <w:vAlign w:val="center"/>
          </w:tcPr>
          <w:p>
            <w:pPr>
              <w:spacing w:before="120" w:line="312" w:lineRule="auto"/>
              <w:jc w:val="both"/>
              <w:rPr>
                <w:rFonts w:eastAsia="宋体"/>
                <w:lang w:eastAsia="ko-KR"/>
              </w:rPr>
            </w:pPr>
            <w:r>
              <w:rPr>
                <w:rFonts w:eastAsia="宋体"/>
                <w:lang w:eastAsia="ko-KR"/>
              </w:rPr>
              <w:t>Agreed options to be studied as data content.</w:t>
            </w:r>
          </w:p>
          <w:p>
            <w:pPr>
              <w:spacing w:before="120" w:line="312" w:lineRule="auto"/>
              <w:jc w:val="both"/>
              <w:rPr>
                <w:rFonts w:eastAsia="宋体"/>
                <w:lang w:eastAsia="ko-KR"/>
              </w:rPr>
            </w:pPr>
            <w:r>
              <w:rPr>
                <w:rFonts w:eastAsia="宋体"/>
                <w:lang w:eastAsia="ko-KR"/>
              </w:rPr>
              <w:t>No consensus on reporting type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193" w:type="dxa"/>
            <w:vMerge w:val="restart"/>
            <w:vAlign w:val="center"/>
          </w:tcPr>
          <w:p>
            <w:pPr>
              <w:spacing w:before="120" w:line="312" w:lineRule="auto"/>
              <w:jc w:val="both"/>
              <w:rPr>
                <w:rFonts w:eastAsia="宋体"/>
                <w:lang w:eastAsia="ko-KR"/>
              </w:rPr>
            </w:pPr>
            <w:r>
              <w:rPr>
                <w:rFonts w:eastAsia="宋体"/>
                <w:lang w:eastAsia="ko-KR"/>
              </w:rPr>
              <w:t>Inference</w:t>
            </w:r>
          </w:p>
        </w:tc>
        <w:tc>
          <w:tcPr>
            <w:tcW w:w="1170" w:type="dxa"/>
            <w:vAlign w:val="center"/>
          </w:tcPr>
          <w:p>
            <w:pPr>
              <w:spacing w:before="120" w:line="312" w:lineRule="auto"/>
              <w:jc w:val="both"/>
              <w:rPr>
                <w:rFonts w:eastAsia="宋体"/>
                <w:lang w:eastAsia="ko-KR"/>
              </w:rPr>
            </w:pPr>
            <w:r>
              <w:rPr>
                <w:rFonts w:eastAsia="宋体"/>
                <w:lang w:eastAsia="ko-KR"/>
              </w:rPr>
              <w:t>UE-side</w:t>
            </w:r>
          </w:p>
        </w:tc>
        <w:tc>
          <w:tcPr>
            <w:tcW w:w="1957" w:type="dxa"/>
            <w:vAlign w:val="center"/>
          </w:tcPr>
          <w:p>
            <w:pPr>
              <w:tabs>
                <w:tab w:val="left" w:pos="1440"/>
              </w:tabs>
              <w:spacing w:line="276" w:lineRule="auto"/>
              <w:contextualSpacing/>
              <w:jc w:val="both"/>
              <w:rPr>
                <w:rFonts w:eastAsia="宋体"/>
                <w:lang w:eastAsia="ko-KR"/>
              </w:rPr>
            </w:pPr>
            <w:r>
              <w:rPr>
                <w:rFonts w:eastAsia="宋体"/>
                <w:lang w:eastAsia="ko-KR"/>
              </w:rPr>
              <w:t>L1-RSRPs and/or beam-IDs for Set A</w:t>
            </w:r>
          </w:p>
        </w:tc>
        <w:tc>
          <w:tcPr>
            <w:tcW w:w="1193" w:type="dxa"/>
            <w:vAlign w:val="center"/>
          </w:tcPr>
          <w:p>
            <w:pPr>
              <w:spacing w:before="120" w:line="312" w:lineRule="auto"/>
              <w:jc w:val="both"/>
              <w:rPr>
                <w:rFonts w:eastAsia="宋体"/>
                <w:lang w:eastAsia="ko-KR"/>
              </w:rPr>
            </w:pPr>
            <w:r>
              <w:rPr>
                <w:rFonts w:eastAsia="宋体"/>
                <w:lang w:eastAsia="ko-KR"/>
              </w:rPr>
              <w:t>UE to NW</w:t>
            </w:r>
          </w:p>
        </w:tc>
        <w:tc>
          <w:tcPr>
            <w:tcW w:w="1507" w:type="dxa"/>
            <w:vAlign w:val="center"/>
          </w:tcPr>
          <w:p>
            <w:pPr>
              <w:spacing w:before="120" w:line="312" w:lineRule="auto"/>
              <w:jc w:val="both"/>
              <w:rPr>
                <w:rFonts w:eastAsia="宋体"/>
                <w:lang w:eastAsia="ko-KR"/>
              </w:rPr>
            </w:pPr>
            <w:r>
              <w:rPr>
                <w:rFonts w:eastAsia="宋体"/>
                <w:lang w:eastAsia="ko-KR"/>
              </w:rPr>
              <w:t>Small</w:t>
            </w:r>
          </w:p>
        </w:tc>
        <w:tc>
          <w:tcPr>
            <w:tcW w:w="990" w:type="dxa"/>
            <w:vAlign w:val="center"/>
          </w:tcPr>
          <w:p>
            <w:pPr>
              <w:spacing w:before="120" w:line="312" w:lineRule="auto"/>
              <w:jc w:val="both"/>
              <w:rPr>
                <w:rFonts w:eastAsia="宋体"/>
                <w:lang w:eastAsia="ko-KR"/>
              </w:rPr>
            </w:pPr>
            <w:r>
              <w:rPr>
                <w:rFonts w:eastAsia="宋体"/>
                <w:lang w:eastAsia="ko-KR"/>
              </w:rPr>
              <w:t>No agreement</w:t>
            </w:r>
          </w:p>
        </w:tc>
        <w:tc>
          <w:tcPr>
            <w:tcW w:w="900" w:type="dxa"/>
            <w:vAlign w:val="center"/>
          </w:tcPr>
          <w:p>
            <w:pPr>
              <w:spacing w:before="120" w:line="312" w:lineRule="auto"/>
              <w:jc w:val="both"/>
              <w:rPr>
                <w:rFonts w:eastAsia="宋体"/>
                <w:lang w:eastAsia="ko-KR"/>
              </w:rPr>
            </w:pPr>
            <w:r>
              <w:rPr>
                <w:rFonts w:eastAsia="宋体"/>
                <w:lang w:eastAsia="ko-KR"/>
              </w:rPr>
              <w:t>Time-critical</w:t>
            </w:r>
          </w:p>
        </w:tc>
        <w:tc>
          <w:tcPr>
            <w:tcW w:w="1170" w:type="dxa"/>
            <w:vAlign w:val="center"/>
          </w:tcPr>
          <w:p>
            <w:pPr>
              <w:spacing w:before="120" w:line="312" w:lineRule="auto"/>
              <w:jc w:val="both"/>
              <w:rPr>
                <w:rFonts w:eastAsia="宋体"/>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193" w:type="dxa"/>
            <w:vMerge w:val="continue"/>
            <w:vAlign w:val="center"/>
          </w:tcPr>
          <w:p>
            <w:pPr>
              <w:spacing w:before="120" w:line="312" w:lineRule="auto"/>
              <w:jc w:val="both"/>
              <w:rPr>
                <w:rFonts w:eastAsia="宋体"/>
                <w:lang w:eastAsia="ko-KR"/>
              </w:rPr>
            </w:pPr>
          </w:p>
        </w:tc>
        <w:tc>
          <w:tcPr>
            <w:tcW w:w="1170" w:type="dxa"/>
            <w:vAlign w:val="center"/>
          </w:tcPr>
          <w:p>
            <w:pPr>
              <w:spacing w:before="120" w:line="312" w:lineRule="auto"/>
              <w:jc w:val="both"/>
              <w:rPr>
                <w:rFonts w:eastAsia="宋体"/>
                <w:lang w:eastAsia="ko-KR"/>
              </w:rPr>
            </w:pPr>
            <w:r>
              <w:rPr>
                <w:rFonts w:eastAsia="宋体"/>
                <w:lang w:eastAsia="ko-KR"/>
              </w:rPr>
              <w:t>NW-side</w:t>
            </w:r>
          </w:p>
        </w:tc>
        <w:tc>
          <w:tcPr>
            <w:tcW w:w="1957" w:type="dxa"/>
            <w:vAlign w:val="center"/>
          </w:tcPr>
          <w:p>
            <w:pPr>
              <w:tabs>
                <w:tab w:val="left" w:pos="1440"/>
              </w:tabs>
              <w:spacing w:line="276" w:lineRule="auto"/>
              <w:contextualSpacing/>
              <w:jc w:val="both"/>
              <w:rPr>
                <w:rFonts w:eastAsia="Batang"/>
                <w:kern w:val="24"/>
                <w:lang w:eastAsia="ko-KR"/>
              </w:rPr>
            </w:pPr>
            <w:r>
              <w:rPr>
                <w:rFonts w:eastAsia="宋体"/>
                <w:lang w:eastAsia="ko-KR"/>
              </w:rPr>
              <w:t>L1-RSRP, Beam-ID for Set B</w:t>
            </w:r>
          </w:p>
        </w:tc>
        <w:tc>
          <w:tcPr>
            <w:tcW w:w="1193" w:type="dxa"/>
            <w:vAlign w:val="center"/>
          </w:tcPr>
          <w:p>
            <w:pPr>
              <w:spacing w:before="120" w:line="312" w:lineRule="auto"/>
              <w:jc w:val="both"/>
              <w:rPr>
                <w:rFonts w:eastAsia="宋体"/>
                <w:lang w:eastAsia="ko-KR"/>
              </w:rPr>
            </w:pPr>
            <w:r>
              <w:rPr>
                <w:rFonts w:eastAsia="宋体"/>
                <w:lang w:eastAsia="ko-KR"/>
              </w:rPr>
              <w:t>UE to NW</w:t>
            </w:r>
          </w:p>
        </w:tc>
        <w:tc>
          <w:tcPr>
            <w:tcW w:w="1507" w:type="dxa"/>
            <w:vAlign w:val="center"/>
          </w:tcPr>
          <w:p>
            <w:pPr>
              <w:spacing w:before="120" w:line="312" w:lineRule="auto"/>
              <w:jc w:val="both"/>
              <w:rPr>
                <w:rFonts w:eastAsia="宋体"/>
                <w:lang w:eastAsia="ko-KR"/>
              </w:rPr>
            </w:pPr>
            <w:r>
              <w:rPr>
                <w:rFonts w:eastAsia="宋体"/>
                <w:lang w:eastAsia="ko-KR"/>
              </w:rPr>
              <w:t>Up to ~100 bits</w:t>
            </w:r>
          </w:p>
          <w:p>
            <w:pPr>
              <w:spacing w:before="120" w:line="312" w:lineRule="auto"/>
              <w:jc w:val="both"/>
              <w:rPr>
                <w:rFonts w:eastAsia="宋体"/>
                <w:lang w:eastAsia="ko-KR"/>
              </w:rPr>
            </w:pPr>
            <w:r>
              <w:rPr>
                <w:rFonts w:eastAsia="宋体"/>
                <w:lang w:eastAsia="ko-KR"/>
              </w:rPr>
              <w:t>Smaller for beam IDs.</w:t>
            </w:r>
          </w:p>
        </w:tc>
        <w:tc>
          <w:tcPr>
            <w:tcW w:w="990" w:type="dxa"/>
            <w:vAlign w:val="center"/>
          </w:tcPr>
          <w:p>
            <w:pPr>
              <w:spacing w:before="120" w:line="312" w:lineRule="auto"/>
              <w:jc w:val="both"/>
              <w:rPr>
                <w:rFonts w:eastAsia="宋体"/>
                <w:lang w:eastAsia="ko-KR"/>
              </w:rPr>
            </w:pPr>
          </w:p>
          <w:p>
            <w:pPr>
              <w:spacing w:before="120" w:line="312" w:lineRule="auto"/>
              <w:jc w:val="both"/>
              <w:rPr>
                <w:rFonts w:eastAsia="宋体"/>
                <w:lang w:eastAsia="ko-KR"/>
              </w:rPr>
            </w:pPr>
            <w:r>
              <w:rPr>
                <w:rFonts w:eastAsia="宋体"/>
                <w:lang w:eastAsia="ko-KR"/>
              </w:rPr>
              <w:t>No agreement</w:t>
            </w:r>
          </w:p>
        </w:tc>
        <w:tc>
          <w:tcPr>
            <w:tcW w:w="900" w:type="dxa"/>
            <w:vAlign w:val="center"/>
          </w:tcPr>
          <w:p>
            <w:pPr>
              <w:spacing w:before="120" w:line="312" w:lineRule="auto"/>
              <w:jc w:val="both"/>
              <w:rPr>
                <w:rFonts w:eastAsia="宋体"/>
                <w:lang w:eastAsia="ko-KR"/>
              </w:rPr>
            </w:pPr>
            <w:r>
              <w:rPr>
                <w:rFonts w:eastAsia="宋体"/>
                <w:lang w:eastAsia="ko-KR"/>
              </w:rPr>
              <w:t>Time-critical</w:t>
            </w:r>
          </w:p>
        </w:tc>
        <w:tc>
          <w:tcPr>
            <w:tcW w:w="1170" w:type="dxa"/>
            <w:vAlign w:val="center"/>
          </w:tcPr>
          <w:p>
            <w:pPr>
              <w:spacing w:before="120" w:line="312" w:lineRule="auto"/>
              <w:jc w:val="both"/>
              <w:rPr>
                <w:rFonts w:eastAsia="宋体"/>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193" w:type="dxa"/>
            <w:vMerge w:val="restart"/>
            <w:vAlign w:val="center"/>
          </w:tcPr>
          <w:p>
            <w:pPr>
              <w:spacing w:before="120" w:line="312" w:lineRule="auto"/>
              <w:jc w:val="both"/>
              <w:rPr>
                <w:rFonts w:eastAsia="宋体"/>
                <w:lang w:eastAsia="ko-KR"/>
              </w:rPr>
            </w:pPr>
            <w:r>
              <w:rPr>
                <w:rFonts w:eastAsia="宋体"/>
                <w:lang w:eastAsia="ko-KR"/>
              </w:rPr>
              <w:t>NW-sided monitoring</w:t>
            </w:r>
          </w:p>
        </w:tc>
        <w:tc>
          <w:tcPr>
            <w:tcW w:w="1170" w:type="dxa"/>
            <w:vAlign w:val="center"/>
          </w:tcPr>
          <w:p>
            <w:pPr>
              <w:spacing w:before="120" w:line="312" w:lineRule="auto"/>
              <w:jc w:val="both"/>
              <w:rPr>
                <w:rFonts w:eastAsia="宋体"/>
                <w:lang w:eastAsia="ko-KR"/>
              </w:rPr>
            </w:pPr>
            <w:r>
              <w:rPr>
                <w:rFonts w:eastAsia="宋体"/>
                <w:lang w:eastAsia="ko-KR"/>
              </w:rPr>
              <w:t>UE-side</w:t>
            </w:r>
          </w:p>
        </w:tc>
        <w:tc>
          <w:tcPr>
            <w:tcW w:w="1957" w:type="dxa"/>
            <w:vAlign w:val="center"/>
          </w:tcPr>
          <w:p>
            <w:pPr>
              <w:tabs>
                <w:tab w:val="left" w:pos="1440"/>
              </w:tabs>
              <w:spacing w:line="276" w:lineRule="auto"/>
              <w:contextualSpacing/>
              <w:jc w:val="both"/>
              <w:rPr>
                <w:rFonts w:eastAsia="宋体"/>
                <w:lang w:eastAsia="ko-KR"/>
              </w:rPr>
            </w:pPr>
            <w:r>
              <w:rPr>
                <w:rFonts w:eastAsia="Calibri"/>
                <w:lang w:eastAsia="ko-KR"/>
              </w:rPr>
              <w:t>calculated performance metrics (if needed</w:t>
            </w:r>
            <w:r>
              <w:rPr>
                <w:rFonts w:eastAsia="宋体"/>
                <w:lang w:eastAsia="ko-KR"/>
              </w:rPr>
              <w:t xml:space="preserve">) </w:t>
            </w:r>
            <w:r>
              <w:rPr>
                <w:rFonts w:eastAsia="Calibri"/>
                <w:lang w:eastAsia="ko-KR"/>
              </w:rPr>
              <w:t>or L1-RSRPs (if needed</w:t>
            </w:r>
            <w:r>
              <w:rPr>
                <w:rFonts w:eastAsia="宋体"/>
                <w:lang w:eastAsia="ko-KR"/>
              </w:rPr>
              <w:t>)</w:t>
            </w:r>
          </w:p>
        </w:tc>
        <w:tc>
          <w:tcPr>
            <w:tcW w:w="1193" w:type="dxa"/>
            <w:vAlign w:val="center"/>
          </w:tcPr>
          <w:p>
            <w:pPr>
              <w:spacing w:before="120" w:line="312" w:lineRule="auto"/>
              <w:jc w:val="both"/>
              <w:rPr>
                <w:rFonts w:eastAsia="宋体"/>
                <w:lang w:eastAsia="ko-KR"/>
              </w:rPr>
            </w:pPr>
            <w:r>
              <w:rPr>
                <w:rFonts w:eastAsia="宋体"/>
                <w:lang w:eastAsia="ko-KR"/>
              </w:rPr>
              <w:t>UE to NW</w:t>
            </w:r>
          </w:p>
        </w:tc>
        <w:tc>
          <w:tcPr>
            <w:tcW w:w="1507" w:type="dxa"/>
            <w:vAlign w:val="center"/>
          </w:tcPr>
          <w:p>
            <w:pPr>
              <w:spacing w:before="120" w:line="312" w:lineRule="auto"/>
              <w:jc w:val="both"/>
              <w:rPr>
                <w:rFonts w:eastAsia="宋体"/>
                <w:lang w:eastAsia="ko-KR"/>
              </w:rPr>
            </w:pPr>
            <w:r>
              <w:rPr>
                <w:rFonts w:eastAsia="宋体"/>
                <w:lang w:eastAsia="ko-KR"/>
              </w:rPr>
              <w:t>Up to ~500 bits for RSRPs</w:t>
            </w:r>
          </w:p>
          <w:p>
            <w:pPr>
              <w:spacing w:before="120" w:line="312" w:lineRule="auto"/>
              <w:jc w:val="both"/>
              <w:rPr>
                <w:rFonts w:eastAsia="宋体"/>
                <w:lang w:eastAsia="ko-KR"/>
              </w:rPr>
            </w:pPr>
            <w:r>
              <w:rPr>
                <w:rFonts w:eastAsia="宋体"/>
                <w:lang w:eastAsia="ko-KR"/>
              </w:rPr>
              <w:t>Small (10s of bits) for performance metrics</w:t>
            </w:r>
          </w:p>
        </w:tc>
        <w:tc>
          <w:tcPr>
            <w:tcW w:w="990" w:type="dxa"/>
            <w:vAlign w:val="center"/>
          </w:tcPr>
          <w:p>
            <w:pPr>
              <w:spacing w:before="120" w:line="312" w:lineRule="auto"/>
              <w:jc w:val="both"/>
              <w:rPr>
                <w:rFonts w:eastAsia="宋体"/>
                <w:lang w:eastAsia="ko-KR"/>
              </w:rPr>
            </w:pPr>
            <w:r>
              <w:rPr>
                <w:rFonts w:eastAsia="宋体"/>
                <w:lang w:eastAsia="ko-KR"/>
              </w:rPr>
              <w:t>No agreement</w:t>
            </w:r>
          </w:p>
        </w:tc>
        <w:tc>
          <w:tcPr>
            <w:tcW w:w="900" w:type="dxa"/>
            <w:vAlign w:val="center"/>
          </w:tcPr>
          <w:p>
            <w:pPr>
              <w:spacing w:before="120" w:line="312" w:lineRule="auto"/>
              <w:jc w:val="both"/>
              <w:rPr>
                <w:rFonts w:eastAsia="宋体"/>
                <w:lang w:eastAsia="ko-KR"/>
              </w:rPr>
            </w:pPr>
            <w:r>
              <w:rPr>
                <w:rFonts w:eastAsia="宋体"/>
                <w:lang w:eastAsia="ko-KR"/>
              </w:rPr>
              <w:t>Near-real-time</w:t>
            </w:r>
          </w:p>
        </w:tc>
        <w:tc>
          <w:tcPr>
            <w:tcW w:w="1170" w:type="dxa"/>
            <w:vAlign w:val="center"/>
          </w:tcPr>
          <w:p>
            <w:pPr>
              <w:spacing w:before="120" w:line="312" w:lineRule="auto"/>
              <w:jc w:val="both"/>
              <w:rPr>
                <w:rFonts w:eastAsia="宋体"/>
                <w:lang w:eastAsia="ko-KR"/>
              </w:rPr>
            </w:pPr>
            <w:r>
              <w:rPr>
                <w:rFonts w:eastAsia="宋体"/>
                <w:lang w:eastAsia="ko-KR"/>
              </w:rPr>
              <w:t>This is called UE-side, NW-side, and hybrid monitoring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193" w:type="dxa"/>
            <w:vMerge w:val="continue"/>
            <w:vAlign w:val="center"/>
          </w:tcPr>
          <w:p>
            <w:pPr>
              <w:spacing w:before="120" w:line="312" w:lineRule="auto"/>
              <w:jc w:val="both"/>
              <w:rPr>
                <w:rFonts w:eastAsia="宋体"/>
                <w:b/>
                <w:bCs/>
                <w:lang w:eastAsia="ko-KR"/>
              </w:rPr>
            </w:pPr>
          </w:p>
        </w:tc>
        <w:tc>
          <w:tcPr>
            <w:tcW w:w="1170" w:type="dxa"/>
            <w:vAlign w:val="center"/>
          </w:tcPr>
          <w:p>
            <w:pPr>
              <w:spacing w:before="120" w:line="312" w:lineRule="auto"/>
              <w:jc w:val="both"/>
              <w:rPr>
                <w:rFonts w:eastAsia="宋体"/>
                <w:lang w:eastAsia="ko-KR"/>
              </w:rPr>
            </w:pPr>
            <w:r>
              <w:rPr>
                <w:rFonts w:eastAsia="宋体"/>
                <w:lang w:eastAsia="ko-KR"/>
              </w:rPr>
              <w:t xml:space="preserve">NW-side </w:t>
            </w:r>
          </w:p>
        </w:tc>
        <w:tc>
          <w:tcPr>
            <w:tcW w:w="1957" w:type="dxa"/>
            <w:vAlign w:val="center"/>
          </w:tcPr>
          <w:p>
            <w:pPr>
              <w:tabs>
                <w:tab w:val="left" w:pos="1440"/>
              </w:tabs>
              <w:spacing w:line="276" w:lineRule="auto"/>
              <w:contextualSpacing/>
              <w:jc w:val="both"/>
              <w:rPr>
                <w:rFonts w:eastAsia="Batang"/>
                <w:kern w:val="24"/>
                <w:lang w:eastAsia="ko-KR"/>
              </w:rPr>
            </w:pPr>
            <w:r>
              <w:rPr>
                <w:rFonts w:eastAsia="Batang"/>
                <w:kern w:val="24"/>
                <w:lang w:eastAsia="ko-KR"/>
              </w:rPr>
              <w:t>L1-RSRPs and/or beam-IDs for Set A</w:t>
            </w:r>
          </w:p>
          <w:p>
            <w:pPr>
              <w:tabs>
                <w:tab w:val="left" w:pos="1440"/>
              </w:tabs>
              <w:spacing w:line="276" w:lineRule="auto"/>
              <w:contextualSpacing/>
              <w:jc w:val="both"/>
              <w:rPr>
                <w:rFonts w:eastAsia="宋体"/>
                <w:lang w:eastAsia="ko-KR"/>
              </w:rPr>
            </w:pPr>
            <w:r>
              <w:rPr>
                <w:rFonts w:eastAsia="宋体"/>
                <w:lang w:eastAsia="ko-KR"/>
              </w:rPr>
              <w:t>(if needed)</w:t>
            </w:r>
          </w:p>
        </w:tc>
        <w:tc>
          <w:tcPr>
            <w:tcW w:w="1193" w:type="dxa"/>
            <w:vAlign w:val="center"/>
          </w:tcPr>
          <w:p>
            <w:pPr>
              <w:spacing w:before="120" w:line="312" w:lineRule="auto"/>
              <w:jc w:val="both"/>
              <w:rPr>
                <w:rFonts w:eastAsia="宋体"/>
                <w:lang w:eastAsia="ko-KR"/>
              </w:rPr>
            </w:pPr>
            <w:r>
              <w:rPr>
                <w:rFonts w:eastAsia="宋体"/>
                <w:lang w:eastAsia="ko-KR"/>
              </w:rPr>
              <w:t>UE to NW</w:t>
            </w:r>
          </w:p>
        </w:tc>
        <w:tc>
          <w:tcPr>
            <w:tcW w:w="1507" w:type="dxa"/>
            <w:vAlign w:val="center"/>
          </w:tcPr>
          <w:p>
            <w:pPr>
              <w:spacing w:before="120" w:line="312" w:lineRule="auto"/>
              <w:jc w:val="both"/>
              <w:rPr>
                <w:rFonts w:eastAsia="宋体"/>
                <w:lang w:eastAsia="ko-KR"/>
              </w:rPr>
            </w:pPr>
            <w:r>
              <w:rPr>
                <w:rFonts w:eastAsia="宋体"/>
                <w:lang w:eastAsia="ko-KR"/>
              </w:rPr>
              <w:t>Up to ~500 bits for RSRPs</w:t>
            </w:r>
          </w:p>
          <w:p>
            <w:pPr>
              <w:spacing w:before="120" w:line="312" w:lineRule="auto"/>
              <w:jc w:val="both"/>
              <w:rPr>
                <w:rFonts w:eastAsia="宋体"/>
                <w:lang w:eastAsia="ko-KR"/>
              </w:rPr>
            </w:pPr>
            <w:r>
              <w:rPr>
                <w:rFonts w:eastAsia="宋体"/>
                <w:lang w:eastAsia="ko-KR"/>
              </w:rPr>
              <w:t xml:space="preserve">Up to ~100 bits for beam IDs. </w:t>
            </w:r>
          </w:p>
        </w:tc>
        <w:tc>
          <w:tcPr>
            <w:tcW w:w="990" w:type="dxa"/>
            <w:vAlign w:val="center"/>
          </w:tcPr>
          <w:p>
            <w:pPr>
              <w:spacing w:before="120" w:line="312" w:lineRule="auto"/>
              <w:jc w:val="both"/>
              <w:rPr>
                <w:rFonts w:eastAsia="宋体"/>
                <w:lang w:eastAsia="ko-KR"/>
              </w:rPr>
            </w:pPr>
            <w:r>
              <w:rPr>
                <w:rFonts w:eastAsia="宋体"/>
                <w:lang w:eastAsia="ko-KR"/>
              </w:rPr>
              <w:t>No agreement</w:t>
            </w:r>
          </w:p>
        </w:tc>
        <w:tc>
          <w:tcPr>
            <w:tcW w:w="900" w:type="dxa"/>
            <w:vAlign w:val="center"/>
          </w:tcPr>
          <w:p>
            <w:pPr>
              <w:spacing w:before="120" w:line="312" w:lineRule="auto"/>
              <w:jc w:val="both"/>
              <w:rPr>
                <w:rFonts w:eastAsia="宋体"/>
                <w:lang w:eastAsia="ko-KR"/>
              </w:rPr>
            </w:pPr>
            <w:r>
              <w:rPr>
                <w:rFonts w:eastAsia="宋体"/>
                <w:lang w:eastAsia="ko-KR"/>
              </w:rPr>
              <w:t>Near-real-time</w:t>
            </w:r>
          </w:p>
        </w:tc>
        <w:tc>
          <w:tcPr>
            <w:tcW w:w="1170" w:type="dxa"/>
            <w:vAlign w:val="center"/>
          </w:tcPr>
          <w:p>
            <w:pPr>
              <w:spacing w:before="120" w:line="312" w:lineRule="auto"/>
              <w:jc w:val="both"/>
              <w:rPr>
                <w:rFonts w:eastAsia="宋体"/>
                <w:lang w:eastAsia="ko-KR"/>
              </w:rPr>
            </w:pPr>
          </w:p>
        </w:tc>
      </w:tr>
    </w:tbl>
    <w:p>
      <w:pPr>
        <w:pStyle w:val="35"/>
        <w:numPr>
          <w:ilvl w:val="2"/>
          <w:numId w:val="7"/>
        </w:numPr>
        <w:snapToGrid w:val="0"/>
        <w:spacing w:before="120" w:beforeLines="50" w:line="288" w:lineRule="auto"/>
        <w:ind w:firstLineChars="0"/>
        <w:outlineLvl w:val="2"/>
        <w:rPr>
          <w:rFonts w:ascii="Arial" w:hAnsi="Arial" w:cs="Arial"/>
          <w:b/>
          <w:sz w:val="24"/>
          <w:szCs w:val="24"/>
        </w:rPr>
      </w:pPr>
      <w:r>
        <w:rPr>
          <w:rFonts w:ascii="Arial" w:hAnsi="Arial" w:cs="Arial"/>
          <w:b/>
          <w:sz w:val="24"/>
          <w:szCs w:val="24"/>
        </w:rPr>
        <w:t>Positioning enhancement</w:t>
      </w:r>
    </w:p>
    <w:p>
      <w:pPr>
        <w:spacing w:before="120" w:beforeLines="50" w:line="288" w:lineRule="auto"/>
        <w:jc w:val="both"/>
        <w:rPr>
          <w:lang w:eastAsia="zh-CN"/>
        </w:rPr>
      </w:pPr>
      <w:r>
        <w:rPr>
          <w:lang w:eastAsia="zh-CN"/>
        </w:rPr>
        <w:t>To facilitate the AI/ML in real world, it is important to carefully analyse the system payload. During last RAN1 meeting, the effect for the training dataset size was discussed, and the following observation was made.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1" w:type="dxa"/>
          </w:tcPr>
          <w:p>
            <w:pPr>
              <w:adjustRightInd w:val="0"/>
              <w:snapToGrid w:val="0"/>
              <w:rPr>
                <w:lang w:eastAsia="zh-CN"/>
              </w:rPr>
            </w:pPr>
            <w:r>
              <w:rPr>
                <w:lang w:eastAsia="zh-CN"/>
              </w:rPr>
              <w:t>Observation</w:t>
            </w:r>
          </w:p>
          <w:p>
            <w:pPr>
              <w:adjustRightInd w:val="0"/>
              <w:snapToGrid w:val="0"/>
              <w:rPr>
                <w:color w:val="000000"/>
              </w:rPr>
            </w:pPr>
            <w:r>
              <w:rPr>
                <w:color w:val="000000"/>
              </w:rPr>
              <w:t>For AI/ML based positioning, the positioning accuracy is affected by the training dataset size for a given UE distribution area (or equivalently, sample density in #samples/m</w:t>
            </w:r>
            <w:r>
              <w:rPr>
                <w:color w:val="000000"/>
                <w:vertAlign w:val="superscript"/>
              </w:rPr>
              <w:t>2</w:t>
            </w:r>
            <w:r>
              <w:rPr>
                <w:color w:val="000000"/>
              </w:rPr>
              <w:t xml:space="preserve">), when the UE is distributed uniformly in training data collection. </w:t>
            </w:r>
          </w:p>
          <w:p>
            <w:pPr>
              <w:widowControl w:val="0"/>
              <w:numPr>
                <w:ilvl w:val="0"/>
                <w:numId w:val="18"/>
              </w:numPr>
              <w:adjustRightInd w:val="0"/>
              <w:snapToGrid w:val="0"/>
              <w:jc w:val="both"/>
              <w:rPr>
                <w:color w:val="000000"/>
                <w:lang w:val="en-US"/>
              </w:rPr>
            </w:pPr>
            <w:r>
              <w:rPr>
                <w:rFonts w:eastAsia="Batang"/>
                <w:color w:val="000000"/>
                <w:lang w:val="en-US"/>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pPr>
              <w:widowControl w:val="0"/>
              <w:numPr>
                <w:ilvl w:val="0"/>
                <w:numId w:val="18"/>
              </w:numPr>
              <w:adjustRightInd w:val="0"/>
              <w:snapToGrid w:val="0"/>
              <w:jc w:val="both"/>
              <w:rPr>
                <w:color w:val="000000"/>
                <w:lang w:val="en-US"/>
              </w:rPr>
            </w:pPr>
            <w:r>
              <w:rPr>
                <w:rFonts w:eastAsia="Batang"/>
                <w:color w:val="000000"/>
                <w:lang w:val="en-US"/>
              </w:rPr>
              <w:t>Note: here a sample refers to the training data collected of one UE at one location. Sample density is equivalent to the density of UEs with data collected in the training dataset.</w:t>
            </w:r>
          </w:p>
          <w:p>
            <w:pPr>
              <w:jc w:val="both"/>
              <w:rPr>
                <w:lang w:val="en-US" w:eastAsia="zh-CN"/>
              </w:rPr>
            </w:pPr>
          </w:p>
        </w:tc>
      </w:tr>
    </w:tbl>
    <w:p>
      <w:pPr>
        <w:spacing w:before="120" w:beforeLines="50" w:line="288" w:lineRule="auto"/>
        <w:jc w:val="both"/>
        <w:rPr>
          <w:lang w:eastAsia="zh-CN"/>
        </w:rPr>
      </w:pPr>
      <w:r>
        <w:rPr>
          <w:lang w:eastAsia="zh-CN"/>
        </w:rPr>
        <w:t xml:space="preserve">For the AI/ML based positioning, the more information you put into, the higher accuracy you could expect. But the trade-off between the </w:t>
      </w:r>
      <w:r>
        <w:rPr>
          <w:rFonts w:eastAsia="Batang"/>
          <w:color w:val="000000"/>
          <w:lang w:val="en-US"/>
        </w:rPr>
        <w:t>dataset size and the performance together with the feasibility should be considered.</w:t>
      </w:r>
      <w:r>
        <w:rPr>
          <w:lang w:eastAsia="zh-CN"/>
        </w:rPr>
        <w:t xml:space="preserve"> During the SI, CIR is very popular for the input of evaluating the AI/ML based positioning. In a typical scenario, considered the following parameters:</w:t>
      </w:r>
    </w:p>
    <w:p>
      <w:pPr>
        <w:spacing w:before="120" w:beforeLines="50" w:line="288" w:lineRule="auto"/>
        <w:jc w:val="center"/>
        <w:rPr>
          <w:lang w:val="en-US" w:eastAsia="ja-JP"/>
        </w:rPr>
      </w:pPr>
      <w:r>
        <w:rPr>
          <w:color w:val="000000"/>
          <w:lang w:val="en-US"/>
        </w:rPr>
        <w:t>N'</w:t>
      </w:r>
      <w:r>
        <w:rPr>
          <w:color w:val="000000"/>
          <w:vertAlign w:val="subscript"/>
          <w:lang w:val="en-US"/>
        </w:rPr>
        <w:t>TRP</w:t>
      </w:r>
      <w:r>
        <w:rPr>
          <w:lang w:val="en-US" w:eastAsia="ja-JP"/>
        </w:rPr>
        <w:t xml:space="preserve"> = N</w:t>
      </w:r>
      <w:r>
        <w:rPr>
          <w:vertAlign w:val="subscript"/>
          <w:lang w:val="en-US" w:eastAsia="ja-JP"/>
        </w:rPr>
        <w:t>TRP</w:t>
      </w:r>
      <w:r>
        <w:rPr>
          <w:lang w:val="en-US" w:eastAsia="ja-JP"/>
        </w:rPr>
        <w:t xml:space="preserve"> = 18</w:t>
      </w:r>
      <w:r>
        <w:rPr>
          <w:rFonts w:hint="eastAsia" w:eastAsiaTheme="minorEastAsia"/>
          <w:lang w:val="en-US" w:eastAsia="zh-CN"/>
        </w:rPr>
        <w:t>,</w:t>
      </w:r>
      <w:r>
        <w:rPr>
          <w:rFonts w:eastAsiaTheme="minorEastAsia"/>
          <w:lang w:val="en-US" w:eastAsia="zh-CN"/>
        </w:rPr>
        <w:t xml:space="preserve"> </w:t>
      </w:r>
      <w:r>
        <w:rPr>
          <w:lang w:val="en-US" w:eastAsia="ja-JP"/>
        </w:rPr>
        <w:t>N</w:t>
      </w:r>
      <w:r>
        <w:rPr>
          <w:vertAlign w:val="subscript"/>
          <w:lang w:val="en-US" w:eastAsia="ja-JP"/>
        </w:rPr>
        <w:t>port</w:t>
      </w:r>
      <w:r>
        <w:rPr>
          <w:lang w:val="en-US" w:eastAsia="ja-JP"/>
        </w:rPr>
        <w:t xml:space="preserve"> = 2</w:t>
      </w:r>
      <w:r>
        <w:rPr>
          <w:rFonts w:hint="eastAsia" w:eastAsiaTheme="minorEastAsia"/>
          <w:lang w:val="en-US" w:eastAsia="zh-CN"/>
        </w:rPr>
        <w:t>,</w:t>
      </w:r>
      <w:r>
        <w:rPr>
          <w:rFonts w:eastAsiaTheme="minorEastAsia"/>
          <w:lang w:val="en-US" w:eastAsia="zh-CN"/>
        </w:rPr>
        <w:t xml:space="preserve"> </w:t>
      </w:r>
      <w:r>
        <w:rPr>
          <w:lang w:val="en-US" w:eastAsia="ja-JP"/>
        </w:rPr>
        <w:t>N</w:t>
      </w:r>
      <w:r>
        <w:rPr>
          <w:vertAlign w:val="subscript"/>
          <w:lang w:val="en-US" w:eastAsia="ja-JP"/>
        </w:rPr>
        <w:t>t</w:t>
      </w:r>
      <w:r>
        <w:rPr>
          <w:lang w:val="en-US" w:eastAsia="ja-JP"/>
        </w:rPr>
        <w:t xml:space="preserve"> = 256</w:t>
      </w:r>
      <w:r>
        <w:rPr>
          <w:rFonts w:hint="eastAsia" w:eastAsiaTheme="minorEastAsia"/>
          <w:lang w:val="en-US" w:eastAsia="zh-CN"/>
        </w:rPr>
        <w:t>,</w:t>
      </w:r>
      <w:r>
        <w:rPr>
          <w:rFonts w:eastAsiaTheme="minorEastAsia"/>
          <w:lang w:val="en-US" w:eastAsia="zh-CN"/>
        </w:rPr>
        <w:t xml:space="preserve"> </w:t>
      </w:r>
      <w:r>
        <w:rPr>
          <w:lang w:val="en-US" w:eastAsia="ja-JP"/>
        </w:rPr>
        <w:t>B</w:t>
      </w:r>
      <w:r>
        <w:rPr>
          <w:vertAlign w:val="subscript"/>
          <w:lang w:val="en-US" w:eastAsia="ja-JP"/>
        </w:rPr>
        <w:t>real</w:t>
      </w:r>
      <w:r>
        <w:rPr>
          <w:vertAlign w:val="subscript"/>
        </w:rPr>
        <w:t>,CIR</w:t>
      </w:r>
      <w:r>
        <w:rPr>
          <w:lang w:val="en-US" w:eastAsia="ja-JP"/>
        </w:rPr>
        <w:t xml:space="preserve"> = 32</w:t>
      </w:r>
    </w:p>
    <w:p>
      <w:pPr>
        <w:spacing w:before="120" w:beforeLines="50" w:line="288" w:lineRule="auto"/>
        <w:rPr>
          <w:lang w:val="en-US" w:eastAsia="ja-JP"/>
        </w:rPr>
      </w:pPr>
      <w:r>
        <w:rPr>
          <w:lang w:val="en-US" w:eastAsia="ja-JP"/>
        </w:rPr>
        <w:t>Each one of the samples for model input could be about 73.7 KB, where the size is calculated by:</w:t>
      </w:r>
    </w:p>
    <w:p>
      <w:pPr>
        <w:spacing w:before="120" w:beforeLines="50" w:line="288" w:lineRule="auto"/>
        <w:jc w:val="center"/>
        <w:rPr>
          <w:lang w:val="en-US" w:eastAsia="ja-JP"/>
        </w:rPr>
      </w:pPr>
      <w:r>
        <w:rPr>
          <w:color w:val="000000"/>
          <w:lang w:val="en-US"/>
        </w:rPr>
        <w:t>N'</w:t>
      </w:r>
      <w:r>
        <w:rPr>
          <w:color w:val="000000"/>
          <w:vertAlign w:val="subscript"/>
          <w:lang w:val="en-US"/>
        </w:rPr>
        <w:t>TRP</w:t>
      </w:r>
      <w:r>
        <w:rPr>
          <w:lang w:val="en-US" w:eastAsia="ja-JP"/>
        </w:rPr>
        <w:t xml:space="preserve"> * N</w:t>
      </w:r>
      <w:r>
        <w:rPr>
          <w:vertAlign w:val="subscript"/>
          <w:lang w:val="en-US" w:eastAsia="ja-JP"/>
        </w:rPr>
        <w:t>port</w:t>
      </w:r>
      <w:r>
        <w:rPr>
          <w:lang w:val="en-US" w:eastAsia="ja-JP"/>
        </w:rPr>
        <w:t xml:space="preserve"> * N</w:t>
      </w:r>
      <w:r>
        <w:rPr>
          <w:vertAlign w:val="subscript"/>
          <w:lang w:val="en-US" w:eastAsia="ja-JP"/>
        </w:rPr>
        <w:t>t</w:t>
      </w:r>
      <w:r>
        <w:rPr>
          <w:lang w:val="en-US" w:eastAsia="ja-JP"/>
        </w:rPr>
        <w:t xml:space="preserve"> * 2 *</w:t>
      </w:r>
      <w:r>
        <w:rPr>
          <w:rFonts w:eastAsiaTheme="minorEastAsia"/>
          <w:lang w:val="en-US" w:eastAsia="zh-CN"/>
        </w:rPr>
        <w:t xml:space="preserve"> </w:t>
      </w:r>
      <w:r>
        <w:rPr>
          <w:lang w:val="en-US" w:eastAsia="ja-JP"/>
        </w:rPr>
        <w:t>B</w:t>
      </w:r>
      <w:r>
        <w:rPr>
          <w:vertAlign w:val="subscript"/>
          <w:lang w:val="en-US" w:eastAsia="ja-JP"/>
        </w:rPr>
        <w:t>real</w:t>
      </w:r>
      <w:r>
        <w:rPr>
          <w:vertAlign w:val="subscript"/>
        </w:rPr>
        <w:t>,CIR</w:t>
      </w:r>
    </w:p>
    <w:p>
      <w:pPr>
        <w:spacing w:before="120" w:beforeLines="50" w:line="288" w:lineRule="auto"/>
        <w:jc w:val="both"/>
        <w:rPr>
          <w:rFonts w:eastAsiaTheme="minorEastAsia"/>
          <w:lang w:val="en-US" w:eastAsia="zh-CN"/>
        </w:rPr>
      </w:pPr>
      <w:r>
        <w:rPr>
          <w:rFonts w:hint="eastAsia" w:eastAsiaTheme="minorEastAsia"/>
          <w:lang w:val="en-US" w:eastAsia="zh-CN"/>
        </w:rPr>
        <w:t>I</w:t>
      </w:r>
      <w:r>
        <w:rPr>
          <w:rFonts w:eastAsiaTheme="minorEastAsia"/>
          <w:lang w:val="en-US" w:eastAsia="zh-CN"/>
        </w:rPr>
        <w:t>f the train dataset is generated or stored at one network entity and would be transmitted to another network entity for model training, this is really a large air interface payload.</w:t>
      </w:r>
    </w:p>
    <w:p>
      <w:pPr>
        <w:spacing w:before="120" w:beforeLines="50" w:line="288" w:lineRule="auto"/>
        <w:jc w:val="both"/>
        <w:rPr>
          <w:rFonts w:eastAsiaTheme="minorEastAsia"/>
          <w:lang w:val="en-US" w:eastAsia="zh-CN"/>
        </w:rPr>
      </w:pPr>
      <w:r>
        <w:rPr>
          <w:rFonts w:hint="eastAsia" w:eastAsiaTheme="minorEastAsia"/>
          <w:lang w:val="en-US" w:eastAsia="zh-CN"/>
        </w:rPr>
        <w:t>F</w:t>
      </w:r>
      <w:r>
        <w:rPr>
          <w:rFonts w:eastAsiaTheme="minorEastAsia"/>
          <w:lang w:val="en-US" w:eastAsia="zh-CN"/>
        </w:rPr>
        <w:t xml:space="preserve">rom our point of view, the data content could be classified into two kinds of groups. One group includes the measurement quantities existing in the current NR positioning method, including TDOA, AOA, RTT and so on. The other one contains measurement which haven’t been used in current NR positioning, like CIR, PDP, or anything else. </w:t>
      </w:r>
    </w:p>
    <w:p>
      <w:pPr>
        <w:spacing w:before="120" w:beforeLines="50" w:after="120" w:afterLines="50" w:line="288" w:lineRule="auto"/>
        <w:rPr>
          <w:rFonts w:eastAsiaTheme="minorEastAsia"/>
          <w:b/>
          <w:bCs/>
          <w:i/>
          <w:iCs/>
          <w:lang w:val="en-US" w:eastAsia="zh-CN"/>
        </w:rPr>
      </w:pPr>
      <w:r>
        <w:rPr>
          <w:b/>
          <w:bCs/>
          <w:i/>
          <w:iCs/>
          <w:kern w:val="2"/>
          <w:u w:val="single"/>
          <w:lang w:val="en-US" w:eastAsia="zh-CN"/>
        </w:rPr>
        <w:t xml:space="preserve">Proposal </w:t>
      </w:r>
      <w:r>
        <w:rPr>
          <w:b/>
          <w:bCs/>
          <w:i/>
          <w:iCs/>
          <w:u w:val="single"/>
          <w:lang w:val="en-US"/>
        </w:rPr>
        <w:t>4</w:t>
      </w:r>
      <w:r>
        <w:rPr>
          <w:b/>
          <w:bCs/>
          <w:i/>
          <w:iCs/>
          <w:kern w:val="2"/>
          <w:u w:val="single"/>
          <w:lang w:val="en-US" w:eastAsia="zh-CN"/>
        </w:rPr>
        <w:t xml:space="preserve">: </w:t>
      </w:r>
      <w:r>
        <w:rPr>
          <w:rFonts w:eastAsiaTheme="minorEastAsia"/>
          <w:b/>
          <w:bCs/>
          <w:i/>
          <w:iCs/>
        </w:rPr>
        <w:t>For the essential aspects of data collection of positioning use case:</w:t>
      </w:r>
    </w:p>
    <w:p>
      <w:pPr>
        <w:pStyle w:val="35"/>
        <w:numPr>
          <w:ilvl w:val="0"/>
          <w:numId w:val="19"/>
        </w:numPr>
        <w:spacing w:before="120" w:beforeLines="50" w:after="120" w:afterLines="50" w:line="288" w:lineRule="auto"/>
        <w:ind w:firstLineChars="0"/>
        <w:rPr>
          <w:rFonts w:ascii="Times New Roman" w:hAnsi="Times New Roman" w:eastAsiaTheme="minorEastAsia"/>
          <w:b/>
          <w:bCs/>
          <w:i/>
          <w:iCs/>
          <w:sz w:val="20"/>
          <w:szCs w:val="20"/>
        </w:rPr>
      </w:pPr>
      <w:r>
        <w:rPr>
          <w:rFonts w:ascii="Times New Roman" w:hAnsi="Times New Roman" w:eastAsiaTheme="minorEastAsia"/>
          <w:b/>
          <w:bCs/>
          <w:i/>
          <w:iCs/>
          <w:sz w:val="20"/>
          <w:szCs w:val="20"/>
        </w:rPr>
        <w:t>For the existing NR positioning measurements:</w:t>
      </w:r>
    </w:p>
    <w:p>
      <w:pPr>
        <w:pStyle w:val="35"/>
        <w:numPr>
          <w:ilvl w:val="1"/>
          <w:numId w:val="19"/>
        </w:numPr>
        <w:spacing w:before="120" w:beforeLines="50" w:after="120" w:afterLines="50" w:line="288" w:lineRule="auto"/>
        <w:ind w:firstLineChars="0"/>
        <w:rPr>
          <w:rFonts w:ascii="Times New Roman" w:hAnsi="Times New Roman" w:eastAsiaTheme="minorEastAsia"/>
          <w:b/>
          <w:bCs/>
          <w:i/>
          <w:iCs/>
          <w:sz w:val="20"/>
          <w:szCs w:val="20"/>
        </w:rPr>
      </w:pPr>
      <w:r>
        <w:rPr>
          <w:rFonts w:ascii="Times New Roman" w:hAnsi="Times New Roman" w:eastAsiaTheme="minorEastAsia"/>
          <w:b/>
          <w:bCs/>
          <w:i/>
          <w:iCs/>
          <w:sz w:val="20"/>
          <w:szCs w:val="20"/>
        </w:rPr>
        <w:t xml:space="preserve">RAN1 should study the </w:t>
      </w:r>
      <w:r>
        <w:rPr>
          <w:rFonts w:ascii="Times New Roman" w:hAnsi="Times New Roman" w:eastAsia="Batang"/>
          <w:b/>
          <w:bCs/>
          <w:i/>
          <w:iCs/>
          <w:color w:val="000000"/>
          <w:sz w:val="20"/>
          <w:szCs w:val="20"/>
        </w:rPr>
        <w:t>performance and the feasibility.</w:t>
      </w:r>
    </w:p>
    <w:p>
      <w:pPr>
        <w:pStyle w:val="35"/>
        <w:numPr>
          <w:ilvl w:val="0"/>
          <w:numId w:val="19"/>
        </w:numPr>
        <w:spacing w:before="120" w:beforeLines="50" w:after="120" w:afterLines="50" w:line="288" w:lineRule="auto"/>
        <w:ind w:firstLineChars="0"/>
        <w:rPr>
          <w:rFonts w:ascii="Times New Roman" w:hAnsi="Times New Roman" w:eastAsiaTheme="minorEastAsia"/>
          <w:b/>
          <w:bCs/>
          <w:i/>
          <w:iCs/>
          <w:sz w:val="20"/>
          <w:szCs w:val="20"/>
        </w:rPr>
      </w:pPr>
      <w:r>
        <w:rPr>
          <w:rFonts w:ascii="Times New Roman" w:hAnsi="Times New Roman" w:eastAsiaTheme="minorEastAsia"/>
          <w:b/>
          <w:bCs/>
          <w:i/>
          <w:iCs/>
          <w:sz w:val="20"/>
          <w:szCs w:val="20"/>
        </w:rPr>
        <w:t>For the new measurements for AI based positioning:</w:t>
      </w:r>
    </w:p>
    <w:p>
      <w:pPr>
        <w:pStyle w:val="35"/>
        <w:numPr>
          <w:ilvl w:val="1"/>
          <w:numId w:val="19"/>
        </w:numPr>
        <w:spacing w:before="120" w:beforeLines="50" w:after="120" w:afterLines="50" w:line="288" w:lineRule="auto"/>
        <w:ind w:firstLineChars="0"/>
        <w:rPr>
          <w:rFonts w:ascii="Times New Roman" w:hAnsi="Times New Roman" w:eastAsiaTheme="minorEastAsia"/>
          <w:b/>
          <w:bCs/>
          <w:i/>
          <w:iCs/>
          <w:sz w:val="20"/>
          <w:szCs w:val="20"/>
        </w:rPr>
      </w:pPr>
      <w:r>
        <w:rPr>
          <w:rFonts w:ascii="Times New Roman" w:hAnsi="Times New Roman" w:eastAsiaTheme="minorEastAsia"/>
          <w:b/>
          <w:bCs/>
          <w:i/>
          <w:iCs/>
          <w:sz w:val="20"/>
          <w:szCs w:val="20"/>
        </w:rPr>
        <w:t xml:space="preserve">RAN1 should study the </w:t>
      </w:r>
      <w:r>
        <w:rPr>
          <w:rFonts w:ascii="Times New Roman" w:hAnsi="Times New Roman" w:eastAsia="Batang"/>
          <w:b/>
          <w:bCs/>
          <w:i/>
          <w:iCs/>
          <w:color w:val="000000"/>
          <w:sz w:val="20"/>
          <w:szCs w:val="20"/>
        </w:rPr>
        <w:t>performance and the feasibility.</w:t>
      </w:r>
    </w:p>
    <w:p>
      <w:pPr>
        <w:spacing w:before="120" w:beforeLines="50" w:line="288" w:lineRule="auto"/>
        <w:jc w:val="both"/>
      </w:pPr>
      <w:r>
        <w:t xml:space="preserve">Based on the agreements in previous meetings, regarding </w:t>
      </w:r>
      <w:r>
        <w:rPr>
          <w:lang w:val="en-US" w:eastAsia="zh-CN"/>
        </w:rPr>
        <w:t>positioning enhancement</w:t>
      </w:r>
      <w:r>
        <w:t>, we have the following tables as the replies to Part B in LS.</w:t>
      </w:r>
    </w:p>
    <w:p>
      <w:pPr>
        <w:rPr>
          <w:b/>
          <w:i/>
          <w:lang w:eastAsia="zh-CN"/>
        </w:rPr>
      </w:pPr>
      <w:r>
        <w:rPr>
          <w:b/>
          <w:i/>
          <w:u w:val="single"/>
          <w:lang w:eastAsia="zh-CN"/>
        </w:rPr>
        <w:t xml:space="preserve">Proposal </w:t>
      </w:r>
      <w:r>
        <w:rPr>
          <w:b/>
          <w:i/>
          <w:u w:val="single"/>
          <w:lang w:val="en-US" w:eastAsia="zh-CN"/>
        </w:rPr>
        <w:t>5</w:t>
      </w:r>
      <w:r>
        <w:rPr>
          <w:b/>
          <w:i/>
          <w:lang w:eastAsia="zh-CN"/>
        </w:rPr>
        <w:t xml:space="preserve">: </w:t>
      </w:r>
      <w:r>
        <w:rPr>
          <w:b/>
          <w:i/>
        </w:rPr>
        <w:t>Regarding positioning enhancement,</w:t>
      </w:r>
      <w:r>
        <w:rPr>
          <w:rFonts w:hint="eastAsia"/>
          <w:b/>
          <w:i/>
          <w:lang w:eastAsia="zh-CN"/>
        </w:rPr>
        <w:t xml:space="preserve"> </w:t>
      </w:r>
      <w:r>
        <w:rPr>
          <w:b/>
          <w:i/>
          <w:lang w:eastAsia="zh-CN"/>
        </w:rPr>
        <w:t>p</w:t>
      </w:r>
      <w:r>
        <w:rPr>
          <w:rFonts w:hint="eastAsia"/>
          <w:b/>
          <w:i/>
          <w:lang w:eastAsia="zh-CN"/>
        </w:rPr>
        <w:t>ro</w:t>
      </w:r>
      <w:r>
        <w:rPr>
          <w:b/>
          <w:i/>
          <w:lang w:eastAsia="zh-CN"/>
        </w:rPr>
        <w:t xml:space="preserve">vide the following Table </w:t>
      </w:r>
      <w:r>
        <w:rPr>
          <w:b/>
          <w:i/>
          <w:lang w:val="en-US" w:eastAsia="zh-CN"/>
        </w:rPr>
        <w:t>4</w:t>
      </w:r>
      <w:r>
        <w:rPr>
          <w:b/>
          <w:i/>
          <w:lang w:eastAsia="zh-CN"/>
        </w:rPr>
        <w:t xml:space="preserve"> as the replies to Part B.</w:t>
      </w:r>
    </w:p>
    <w:p>
      <w:pPr>
        <w:keepNext w:val="0"/>
        <w:keepLines w:val="0"/>
        <w:pageBreakBefore w:val="0"/>
        <w:widowControl/>
        <w:kinsoku/>
        <w:wordWrap/>
        <w:overflowPunct/>
        <w:topLinePunct w:val="0"/>
        <w:autoSpaceDE/>
        <w:autoSpaceDN/>
        <w:bidi w:val="0"/>
        <w:adjustRightInd/>
        <w:snapToGrid/>
        <w:spacing w:line="240" w:lineRule="auto"/>
        <w:textAlignment w:val="auto"/>
        <w:rPr>
          <w:rFonts w:eastAsiaTheme="minorEastAsia"/>
          <w:b/>
          <w:bCs/>
          <w:i/>
          <w:iCs/>
        </w:rPr>
      </w:pPr>
    </w:p>
    <w:p>
      <w:pPr>
        <w:pStyle w:val="11"/>
        <w:keepNext w:val="0"/>
        <w:keepLines w:val="0"/>
        <w:pageBreakBefore w:val="0"/>
        <w:widowControl/>
        <w:kinsoku/>
        <w:wordWrap/>
        <w:overflowPunct/>
        <w:topLinePunct w:val="0"/>
        <w:bidi w:val="0"/>
        <w:spacing w:after="0" w:line="240" w:lineRule="auto"/>
        <w:textAlignment w:val="auto"/>
      </w:pPr>
      <w:r>
        <w:rPr>
          <w:rFonts w:hint="eastAsia"/>
        </w:rPr>
        <w:t>T</w:t>
      </w:r>
      <w:r>
        <w:t xml:space="preserve">able </w:t>
      </w:r>
      <w:r>
        <w:rPr>
          <w:lang w:eastAsia="zh-CN"/>
        </w:rPr>
        <w:t>4</w:t>
      </w:r>
      <w:r>
        <w:t xml:space="preserve"> Data collection requirements for </w:t>
      </w:r>
      <w:r>
        <w:rPr>
          <w:lang w:eastAsia="zh-CN"/>
        </w:rPr>
        <w:t>positioning enhancement</w:t>
      </w:r>
    </w:p>
    <w:tbl>
      <w:tblPr>
        <w:tblStyle w:val="20"/>
        <w:tblW w:w="10170"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990"/>
        <w:gridCol w:w="1687"/>
        <w:gridCol w:w="1103"/>
        <w:gridCol w:w="2317"/>
        <w:gridCol w:w="1170"/>
        <w:gridCol w:w="923"/>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lang w:eastAsia="zh-CN"/>
              </w:rPr>
            </w:pPr>
            <w:r>
              <w:rPr>
                <w:b/>
                <w:bCs/>
              </w:rPr>
              <w:t>LCM purpose</w:t>
            </w:r>
          </w:p>
        </w:tc>
        <w:tc>
          <w:tcPr>
            <w:tcW w:w="99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rPr>
                <w:b/>
                <w:bCs/>
              </w:rPr>
            </w:pPr>
            <w:r>
              <w:rPr>
                <w:b/>
                <w:bCs/>
              </w:rPr>
              <w:t>Case</w:t>
            </w:r>
          </w:p>
        </w:tc>
        <w:tc>
          <w:tcPr>
            <w:tcW w:w="168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Data content</w:t>
            </w:r>
          </w:p>
        </w:tc>
        <w:tc>
          <w:tcPr>
            <w:tcW w:w="110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Data transfer direction</w:t>
            </w:r>
          </w:p>
        </w:tc>
        <w:tc>
          <w:tcPr>
            <w:tcW w:w="231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Typical data size (per data sample)</w:t>
            </w:r>
          </w:p>
        </w:tc>
        <w:tc>
          <w:tcPr>
            <w:tcW w:w="1170"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Reporting type</w:t>
            </w:r>
            <w:r>
              <w:rPr>
                <w:b/>
                <w:bCs/>
              </w:rPr>
              <w:br w:type="textWrapping"/>
            </w:r>
          </w:p>
        </w:tc>
        <w:tc>
          <w:tcPr>
            <w:tcW w:w="92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Typical latency requirement</w:t>
            </w:r>
          </w:p>
        </w:tc>
        <w:tc>
          <w:tcPr>
            <w:tcW w:w="114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3" w:hRule="atLeast"/>
        </w:trPr>
        <w:tc>
          <w:tcPr>
            <w:tcW w:w="833"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Cs/>
              </w:rPr>
            </w:pPr>
            <w:r>
              <w:rPr>
                <w:rFonts w:eastAsia="宋体"/>
                <w:bCs/>
              </w:rPr>
              <w:t>model training</w:t>
            </w:r>
          </w:p>
        </w:tc>
        <w:tc>
          <w:tcPr>
            <w:tcW w:w="99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t>1, 2a, 2b, 3a,3b</w:t>
            </w:r>
          </w:p>
        </w:tc>
        <w:tc>
          <w:tcPr>
            <w:tcW w:w="1687" w:type="dxa"/>
            <w:tcBorders>
              <w:top w:val="single" w:color="auto" w:sz="4" w:space="0"/>
              <w:left w:val="single" w:color="auto" w:sz="4" w:space="0"/>
              <w:bottom w:val="single" w:color="auto" w:sz="4" w:space="0"/>
              <w:right w:val="single" w:color="auto" w:sz="4" w:space="0"/>
            </w:tcBorders>
          </w:tcPr>
          <w:p>
            <w:r>
              <w:t>Measurements (corresponding to model input): timing, power, and/or phase info</w:t>
            </w:r>
          </w:p>
          <w:p>
            <w:r>
              <w:t xml:space="preserve">(No agreement on measurement types yet in RAN1) </w:t>
            </w:r>
          </w:p>
          <w:p>
            <w:pPr>
              <w:snapToGrid w:val="0"/>
              <w:spacing w:before="100" w:beforeAutospacing="1" w:after="120"/>
            </w:pPr>
          </w:p>
        </w:tc>
        <w:tc>
          <w:tcPr>
            <w:tcW w:w="1103" w:type="dxa"/>
            <w:tcBorders>
              <w:top w:val="single" w:color="auto" w:sz="4" w:space="0"/>
              <w:left w:val="single" w:color="auto" w:sz="4" w:space="0"/>
              <w:bottom w:val="single" w:color="auto" w:sz="4" w:space="0"/>
              <w:right w:val="single" w:color="auto" w:sz="4" w:space="0"/>
            </w:tcBorders>
          </w:tcPr>
          <w:p>
            <w:r>
              <w:t>1,2a: From UE/PRU</w:t>
            </w:r>
          </w:p>
          <w:p>
            <w:r>
              <w:t>3a: From gNB</w:t>
            </w:r>
          </w:p>
          <w:p/>
          <w:p>
            <w:pPr>
              <w:snapToGrid w:val="0"/>
              <w:spacing w:before="100" w:beforeAutospacing="1" w:after="120"/>
            </w:pPr>
          </w:p>
        </w:tc>
        <w:tc>
          <w:tcPr>
            <w:tcW w:w="2317" w:type="dxa"/>
            <w:tcBorders>
              <w:top w:val="single" w:color="auto" w:sz="4" w:space="0"/>
              <w:left w:val="single" w:color="auto" w:sz="4" w:space="0"/>
              <w:bottom w:val="single" w:color="auto" w:sz="4" w:space="0"/>
              <w:right w:val="single" w:color="auto" w:sz="4" w:space="0"/>
            </w:tcBorders>
          </w:tcPr>
          <w:p>
            <w:r>
              <w:t>Size depends on measurement type (timing and/or power and/or phase info) and report format:</w:t>
            </w:r>
          </w:p>
          <w:p>
            <w:r>
              <w:t>88-6665 bits per PRS/SRS resource</w:t>
            </w:r>
          </w:p>
          <w:p>
            <w:r>
              <w:t>Note: the lower bound (88) is assuming first path and 8 additional path timing only; while the upper bound (6665) is assuming 256 measurement samples.</w:t>
            </w:r>
          </w:p>
          <w:p/>
        </w:tc>
        <w:tc>
          <w:tcPr>
            <w:tcW w:w="1170" w:type="dxa"/>
            <w:tcBorders>
              <w:top w:val="single" w:color="auto" w:sz="4" w:space="0"/>
              <w:left w:val="single" w:color="auto" w:sz="4" w:space="0"/>
              <w:bottom w:val="single" w:color="auto" w:sz="4" w:space="0"/>
              <w:right w:val="single" w:color="auto" w:sz="4" w:space="0"/>
            </w:tcBorders>
          </w:tcPr>
          <w:p/>
          <w:p>
            <w:pPr>
              <w:snapToGrid w:val="0"/>
              <w:spacing w:before="100" w:beforeAutospacing="1" w:after="120"/>
            </w:pPr>
            <w:r>
              <w:t>No agreement</w:t>
            </w:r>
          </w:p>
        </w:tc>
        <w:tc>
          <w:tcPr>
            <w:tcW w:w="923"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rPr>
                <w:rFonts w:eastAsia="宋体"/>
              </w:rPr>
              <w:t>Relaxed</w:t>
            </w:r>
          </w:p>
        </w:tc>
        <w:tc>
          <w:tcPr>
            <w:tcW w:w="114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vMerge w:val="continue"/>
            <w:tcBorders>
              <w:top w:val="single" w:color="auto" w:sz="4" w:space="0"/>
              <w:left w:val="single" w:color="auto" w:sz="4" w:space="0"/>
              <w:bottom w:val="single" w:color="auto" w:sz="4" w:space="0"/>
              <w:right w:val="single" w:color="auto" w:sz="4" w:space="0"/>
            </w:tcBorders>
            <w:vAlign w:val="center"/>
          </w:tcPr>
          <w:p>
            <w:pPr>
              <w:rPr>
                <w:rFonts w:eastAsiaTheme="minorEastAsia"/>
                <w:bCs/>
                <w:kern w:val="2"/>
                <w14:ligatures w14:val="standardContextual"/>
              </w:rPr>
            </w:pPr>
          </w:p>
        </w:tc>
        <w:tc>
          <w:tcPr>
            <w:tcW w:w="99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p>
          <w:p>
            <w:pPr>
              <w:snapToGrid w:val="0"/>
              <w:spacing w:before="100" w:beforeAutospacing="1" w:after="120"/>
            </w:pPr>
            <w:r>
              <w:t>Direct AI/ML positioning</w:t>
            </w:r>
          </w:p>
        </w:tc>
        <w:tc>
          <w:tcPr>
            <w:tcW w:w="1687" w:type="dxa"/>
            <w:tcBorders>
              <w:top w:val="single" w:color="auto" w:sz="4" w:space="0"/>
              <w:left w:val="single" w:color="auto" w:sz="4" w:space="0"/>
              <w:bottom w:val="single" w:color="auto" w:sz="4" w:space="0"/>
              <w:right w:val="single" w:color="auto" w:sz="4" w:space="0"/>
            </w:tcBorders>
          </w:tcPr>
          <w:p>
            <w:r>
              <w:t>Label: Location information</w:t>
            </w:r>
          </w:p>
        </w:tc>
        <w:tc>
          <w:tcPr>
            <w:tcW w:w="1103" w:type="dxa"/>
            <w:tcBorders>
              <w:top w:val="single" w:color="auto" w:sz="4" w:space="0"/>
              <w:left w:val="single" w:color="auto" w:sz="4" w:space="0"/>
              <w:bottom w:val="single" w:color="auto" w:sz="4" w:space="0"/>
              <w:right w:val="single" w:color="auto" w:sz="4" w:space="0"/>
            </w:tcBorders>
          </w:tcPr>
          <w:p>
            <w:r>
              <w:t>1:</w:t>
            </w:r>
          </w:p>
          <w:p>
            <w:pPr>
              <w:rPr>
                <w:rFonts w:eastAsia="宋体"/>
              </w:rPr>
            </w:pPr>
            <w:r>
              <w:t>From UE/PRU</w:t>
            </w:r>
          </w:p>
          <w:p>
            <w:pPr>
              <w:rPr>
                <w:rFonts w:eastAsia="宋体"/>
              </w:rPr>
            </w:pPr>
            <w:r>
              <w:t>2b, 3b: From LMF and/or network entity</w:t>
            </w:r>
          </w:p>
          <w:p>
            <w:pPr>
              <w:rPr>
                <w:rFonts w:eastAsiaTheme="minorEastAsia"/>
              </w:rPr>
            </w:pPr>
            <w:r>
              <w:rPr>
                <w:rFonts w:eastAsia="宋体"/>
              </w:rPr>
              <w:t>Other entities are under discussion.</w:t>
            </w:r>
          </w:p>
        </w:tc>
        <w:tc>
          <w:tcPr>
            <w:tcW w:w="2317" w:type="dxa"/>
            <w:tcBorders>
              <w:top w:val="single" w:color="auto" w:sz="4" w:space="0"/>
              <w:left w:val="single" w:color="auto" w:sz="4" w:space="0"/>
              <w:bottom w:val="single" w:color="auto" w:sz="4" w:space="0"/>
              <w:right w:val="single" w:color="auto" w:sz="4" w:space="0"/>
            </w:tcBorders>
          </w:tcPr>
          <w:p>
            <w:r>
              <w:t xml:space="preserve">104 to 144 bits </w:t>
            </w:r>
          </w:p>
          <w:p>
            <w:pPr>
              <w:rPr>
                <w:u w:val="single"/>
              </w:rPr>
            </w:pPr>
          </w:p>
        </w:tc>
        <w:tc>
          <w:tcPr>
            <w:tcW w:w="1170" w:type="dxa"/>
            <w:tcBorders>
              <w:top w:val="single" w:color="auto" w:sz="4" w:space="0"/>
              <w:left w:val="single" w:color="auto" w:sz="4" w:space="0"/>
              <w:bottom w:val="single" w:color="auto" w:sz="4" w:space="0"/>
              <w:right w:val="single" w:color="auto" w:sz="4" w:space="0"/>
            </w:tcBorders>
          </w:tcPr>
          <w:p>
            <w:r>
              <w:t>No agreement</w:t>
            </w:r>
          </w:p>
        </w:tc>
        <w:tc>
          <w:tcPr>
            <w:tcW w:w="923"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rPr>
                <w:rFonts w:eastAsia="宋体"/>
              </w:rPr>
            </w:pPr>
            <w:r>
              <w:rPr>
                <w:rFonts w:eastAsia="宋体"/>
              </w:rPr>
              <w:t>Relaxed</w:t>
            </w:r>
          </w:p>
        </w:tc>
        <w:tc>
          <w:tcPr>
            <w:tcW w:w="114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vMerge w:val="continue"/>
            <w:tcBorders>
              <w:top w:val="single" w:color="auto" w:sz="4" w:space="0"/>
              <w:left w:val="single" w:color="auto" w:sz="4" w:space="0"/>
              <w:bottom w:val="single" w:color="auto" w:sz="4" w:space="0"/>
              <w:right w:val="single" w:color="auto" w:sz="4" w:space="0"/>
            </w:tcBorders>
            <w:vAlign w:val="center"/>
          </w:tcPr>
          <w:p>
            <w:pPr>
              <w:rPr>
                <w:rFonts w:eastAsiaTheme="minorEastAsia"/>
                <w:bCs/>
                <w:kern w:val="2"/>
                <w14:ligatures w14:val="standardContextual"/>
              </w:rPr>
            </w:pPr>
          </w:p>
        </w:tc>
        <w:tc>
          <w:tcPr>
            <w:tcW w:w="99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p>
          <w:p>
            <w:pPr>
              <w:snapToGrid w:val="0"/>
              <w:spacing w:before="100" w:beforeAutospacing="1" w:after="120"/>
            </w:pPr>
            <w:r>
              <w:t>AI/ML assisted positioning</w:t>
            </w:r>
          </w:p>
        </w:tc>
        <w:tc>
          <w:tcPr>
            <w:tcW w:w="168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Label: Intermediate positioning measurement (timing, [RSRP/RSRPP], LOS/NLOS indicator)</w:t>
            </w:r>
          </w:p>
        </w:tc>
        <w:tc>
          <w:tcPr>
            <w:tcW w:w="110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2a: From UE/PRU/LMF</w:t>
            </w:r>
          </w:p>
          <w:p>
            <w:pPr>
              <w:snapToGrid w:val="0"/>
              <w:spacing w:before="100" w:beforeAutospacing="1" w:after="120"/>
              <w:rPr>
                <w:rFonts w:eastAsia="宋体"/>
              </w:rPr>
            </w:pPr>
            <w:r>
              <w:t>3a: From LMF and/or network entity</w:t>
            </w:r>
          </w:p>
          <w:p>
            <w:pPr>
              <w:snapToGrid w:val="0"/>
              <w:spacing w:before="100" w:beforeAutospacing="1" w:after="120"/>
              <w:rPr>
                <w:rFonts w:eastAsiaTheme="minorEastAsia"/>
              </w:rPr>
            </w:pPr>
            <w:r>
              <w:rPr>
                <w:rFonts w:eastAsia="宋体"/>
              </w:rPr>
              <w:t>Other entities are under discussion.</w:t>
            </w:r>
          </w:p>
        </w:tc>
        <w:tc>
          <w:tcPr>
            <w:tcW w:w="2317" w:type="dxa"/>
            <w:tcBorders>
              <w:top w:val="single" w:color="auto" w:sz="4" w:space="0"/>
              <w:left w:val="single" w:color="auto" w:sz="4" w:space="0"/>
              <w:bottom w:val="single" w:color="auto" w:sz="4" w:space="0"/>
              <w:right w:val="single" w:color="auto" w:sz="4" w:space="0"/>
            </w:tcBorders>
            <w:vAlign w:val="center"/>
          </w:tcPr>
          <w:p>
            <w:r>
              <w:t>28 bits per PRS/SRS resource</w:t>
            </w:r>
          </w:p>
          <w:p/>
        </w:tc>
        <w:tc>
          <w:tcPr>
            <w:tcW w:w="117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t>No agreement</w:t>
            </w:r>
          </w:p>
        </w:tc>
        <w:tc>
          <w:tcPr>
            <w:tcW w:w="923"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rPr>
                <w:rFonts w:eastAsia="宋体"/>
              </w:rPr>
              <w:t>Relaxed</w:t>
            </w:r>
          </w:p>
        </w:tc>
        <w:tc>
          <w:tcPr>
            <w:tcW w:w="114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trPr>
        <w:tc>
          <w:tcPr>
            <w:tcW w:w="833"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rFonts w:eastAsia="宋体"/>
                <w:bCs/>
              </w:rPr>
            </w:pPr>
            <w:r>
              <w:rPr>
                <w:rFonts w:eastAsia="宋体"/>
                <w:bCs/>
              </w:rPr>
              <w:t>Inference</w:t>
            </w:r>
          </w:p>
        </w:tc>
        <w:tc>
          <w:tcPr>
            <w:tcW w:w="99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rPr>
                <w:rFonts w:eastAsiaTheme="minorEastAsia"/>
              </w:rPr>
            </w:pPr>
            <w:r>
              <w:t>2a, 3a</w:t>
            </w:r>
          </w:p>
        </w:tc>
        <w:tc>
          <w:tcPr>
            <w:tcW w:w="1687" w:type="dxa"/>
            <w:tcBorders>
              <w:top w:val="single" w:color="auto" w:sz="4" w:space="0"/>
              <w:left w:val="single" w:color="auto" w:sz="4" w:space="0"/>
              <w:bottom w:val="single" w:color="auto" w:sz="4" w:space="0"/>
              <w:right w:val="single" w:color="auto" w:sz="4" w:space="0"/>
            </w:tcBorders>
          </w:tcPr>
          <w:p>
            <w:r>
              <w:t>Intermediate positioning measurement of PRS (timing, [RSRP/RSRPP], LOS/NLOS indicator) as model output</w:t>
            </w:r>
          </w:p>
        </w:tc>
        <w:tc>
          <w:tcPr>
            <w:tcW w:w="1103" w:type="dxa"/>
            <w:tcBorders>
              <w:top w:val="single" w:color="auto" w:sz="4" w:space="0"/>
              <w:left w:val="single" w:color="auto" w:sz="4" w:space="0"/>
              <w:bottom w:val="single" w:color="auto" w:sz="4" w:space="0"/>
              <w:right w:val="single" w:color="auto" w:sz="4" w:space="0"/>
            </w:tcBorders>
          </w:tcPr>
          <w:p>
            <w:r>
              <w:t>2a: UE to LMF</w:t>
            </w:r>
          </w:p>
          <w:p>
            <w:r>
              <w:t>3a: gNB to LMF</w:t>
            </w:r>
          </w:p>
        </w:tc>
        <w:tc>
          <w:tcPr>
            <w:tcW w:w="2317" w:type="dxa"/>
            <w:tcBorders>
              <w:top w:val="single" w:color="auto" w:sz="4" w:space="0"/>
              <w:left w:val="single" w:color="auto" w:sz="4" w:space="0"/>
              <w:bottom w:val="single" w:color="auto" w:sz="4" w:space="0"/>
              <w:right w:val="single" w:color="auto" w:sz="4" w:space="0"/>
            </w:tcBorders>
          </w:tcPr>
          <w:p/>
          <w:p>
            <w:r>
              <w:t>28 bits per PRS/SRS resource</w:t>
            </w:r>
          </w:p>
          <w:p/>
          <w:p/>
        </w:tc>
        <w:tc>
          <w:tcPr>
            <w:tcW w:w="117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t>Same as case 1</w:t>
            </w:r>
          </w:p>
        </w:tc>
        <w:tc>
          <w:tcPr>
            <w:tcW w:w="923"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rPr>
                <w:rFonts w:eastAsia="宋体"/>
              </w:rPr>
            </w:pPr>
            <w:r>
              <w:t>Same as case 1</w:t>
            </w:r>
          </w:p>
        </w:tc>
        <w:tc>
          <w:tcPr>
            <w:tcW w:w="114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vMerge w:val="continue"/>
            <w:tcBorders>
              <w:top w:val="single" w:color="auto" w:sz="4" w:space="0"/>
              <w:left w:val="single" w:color="auto" w:sz="4" w:space="0"/>
              <w:bottom w:val="single" w:color="auto" w:sz="4" w:space="0"/>
              <w:right w:val="single" w:color="auto" w:sz="4" w:space="0"/>
            </w:tcBorders>
            <w:vAlign w:val="center"/>
          </w:tcPr>
          <w:p>
            <w:pPr>
              <w:rPr>
                <w:rFonts w:eastAsia="宋体"/>
                <w:bCs/>
                <w:kern w:val="2"/>
                <w14:ligatures w14:val="standardContextual"/>
              </w:rPr>
            </w:pPr>
          </w:p>
        </w:tc>
        <w:tc>
          <w:tcPr>
            <w:tcW w:w="99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t>2b, 3b</w:t>
            </w:r>
          </w:p>
        </w:tc>
        <w:tc>
          <w:tcPr>
            <w:tcW w:w="1687" w:type="dxa"/>
            <w:tcBorders>
              <w:top w:val="single" w:color="auto" w:sz="4" w:space="0"/>
              <w:left w:val="single" w:color="auto" w:sz="4" w:space="0"/>
              <w:bottom w:val="single" w:color="auto" w:sz="4" w:space="0"/>
              <w:right w:val="single" w:color="auto" w:sz="4" w:space="0"/>
            </w:tcBorders>
          </w:tcPr>
          <w:p>
            <w:r>
              <w:t>Measurements:</w:t>
            </w:r>
          </w:p>
          <w:p>
            <w:r>
              <w:t xml:space="preserve">Timing, power, and/or phase info </w:t>
            </w:r>
          </w:p>
          <w:p>
            <w:r>
              <w:t>(No agreement on exact measurement types yet in RAN1)</w:t>
            </w:r>
          </w:p>
        </w:tc>
        <w:tc>
          <w:tcPr>
            <w:tcW w:w="1103" w:type="dxa"/>
            <w:tcBorders>
              <w:top w:val="single" w:color="auto" w:sz="4" w:space="0"/>
              <w:left w:val="single" w:color="auto" w:sz="4" w:space="0"/>
              <w:bottom w:val="single" w:color="auto" w:sz="4" w:space="0"/>
              <w:right w:val="single" w:color="auto" w:sz="4" w:space="0"/>
            </w:tcBorders>
          </w:tcPr>
          <w:p>
            <w:r>
              <w:t>2b: UE to LMF</w:t>
            </w:r>
          </w:p>
          <w:p>
            <w:r>
              <w:t>3b: gNB to LMF</w:t>
            </w:r>
          </w:p>
        </w:tc>
        <w:tc>
          <w:tcPr>
            <w:tcW w:w="2317" w:type="dxa"/>
            <w:tcBorders>
              <w:top w:val="single" w:color="auto" w:sz="4" w:space="0"/>
              <w:left w:val="single" w:color="auto" w:sz="4" w:space="0"/>
              <w:bottom w:val="single" w:color="auto" w:sz="4" w:space="0"/>
              <w:right w:val="single" w:color="auto" w:sz="4" w:space="0"/>
            </w:tcBorders>
          </w:tcPr>
          <w:p>
            <w:r>
              <w:t>Size depends on measurement type (timing and/or power and/or phase info) and report format:</w:t>
            </w:r>
          </w:p>
          <w:p>
            <w:r>
              <w:t>88-6665 bits per PRS/SRS resource</w:t>
            </w:r>
          </w:p>
          <w:p>
            <w:r>
              <w:t>Note: the lower bound (88) is assuming first path and 8 additional path timing only; while the upper bound (6665) is assuming 256 measurement samples.</w:t>
            </w:r>
          </w:p>
          <w:p>
            <w:r>
              <w:t>[See Note1 below for assumptions]</w:t>
            </w:r>
          </w:p>
          <w:p/>
        </w:tc>
        <w:tc>
          <w:tcPr>
            <w:tcW w:w="117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t>Same as case 1</w:t>
            </w:r>
          </w:p>
        </w:tc>
        <w:tc>
          <w:tcPr>
            <w:tcW w:w="923"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rPr>
                <w:rFonts w:eastAsia="宋体"/>
              </w:rPr>
            </w:pPr>
            <w:r>
              <w:t>Same as case 1</w:t>
            </w:r>
          </w:p>
        </w:tc>
        <w:tc>
          <w:tcPr>
            <w:tcW w:w="114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trPr>
        <w:tc>
          <w:tcPr>
            <w:tcW w:w="83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rFonts w:eastAsia="宋体"/>
                <w:bCs/>
              </w:rPr>
            </w:pPr>
            <w:r>
              <w:rPr>
                <w:rFonts w:eastAsia="宋体"/>
                <w:bCs/>
              </w:rPr>
              <w:t>NW-sided monitoring</w:t>
            </w:r>
          </w:p>
        </w:tc>
        <w:tc>
          <w:tcPr>
            <w:tcW w:w="99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rPr>
                <w:rFonts w:eastAsiaTheme="minorEastAsia"/>
              </w:rPr>
            </w:pPr>
            <w:r>
              <w:t>2a, 3a</w:t>
            </w:r>
          </w:p>
        </w:tc>
        <w:tc>
          <w:tcPr>
            <w:tcW w:w="1687" w:type="dxa"/>
            <w:tcBorders>
              <w:top w:val="single" w:color="auto" w:sz="4" w:space="0"/>
              <w:left w:val="single" w:color="auto" w:sz="4" w:space="0"/>
              <w:bottom w:val="single" w:color="auto" w:sz="4" w:space="0"/>
              <w:right w:val="single" w:color="auto" w:sz="4" w:space="0"/>
            </w:tcBorders>
          </w:tcPr>
          <w:p>
            <w:r>
              <w:t xml:space="preserve">statistics of the difference between model output and provided ground truth label </w:t>
            </w:r>
          </w:p>
          <w:p>
            <w:r>
              <w:t>(if needed)</w:t>
            </w:r>
          </w:p>
          <w:p/>
          <w:p>
            <w:r>
              <w:t>Statistics of model output compared to the statistics associated with the training data and/or its own previous inference output</w:t>
            </w:r>
          </w:p>
          <w:p>
            <w:r>
              <w:t>(if needed)</w:t>
            </w:r>
          </w:p>
        </w:tc>
        <w:tc>
          <w:tcPr>
            <w:tcW w:w="1103" w:type="dxa"/>
            <w:tcBorders>
              <w:top w:val="single" w:color="auto" w:sz="4" w:space="0"/>
              <w:left w:val="single" w:color="auto" w:sz="4" w:space="0"/>
              <w:bottom w:val="single" w:color="auto" w:sz="4" w:space="0"/>
              <w:right w:val="single" w:color="auto" w:sz="4" w:space="0"/>
            </w:tcBorders>
          </w:tcPr>
          <w:p>
            <w:r>
              <w:t>2a: LMF to UE</w:t>
            </w:r>
          </w:p>
          <w:p>
            <w:r>
              <w:t>3a: LMF to gNB</w:t>
            </w:r>
          </w:p>
        </w:tc>
        <w:tc>
          <w:tcPr>
            <w:tcW w:w="2317" w:type="dxa"/>
            <w:tcBorders>
              <w:top w:val="single" w:color="auto" w:sz="4" w:space="0"/>
              <w:left w:val="single" w:color="auto" w:sz="4" w:space="0"/>
              <w:bottom w:val="single" w:color="auto" w:sz="4" w:space="0"/>
              <w:right w:val="single" w:color="auto" w:sz="4" w:space="0"/>
            </w:tcBorders>
          </w:tcPr>
          <w:p>
            <w:r>
              <w:t>10s of bits (RAN1 still works on deciding metrics)</w:t>
            </w:r>
          </w:p>
        </w:tc>
        <w:tc>
          <w:tcPr>
            <w:tcW w:w="117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t>No agreement</w:t>
            </w:r>
          </w:p>
        </w:tc>
        <w:tc>
          <w:tcPr>
            <w:tcW w:w="923"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t>Near-real-time</w:t>
            </w:r>
          </w:p>
        </w:tc>
        <w:tc>
          <w:tcPr>
            <w:tcW w:w="114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Feasibility and necessity are under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trPr>
        <w:tc>
          <w:tcPr>
            <w:tcW w:w="10170" w:type="dxa"/>
            <w:gridSpan w:val="8"/>
            <w:tcBorders>
              <w:top w:val="single" w:color="auto" w:sz="4" w:space="0"/>
              <w:left w:val="single" w:color="auto" w:sz="4" w:space="0"/>
              <w:bottom w:val="single" w:color="auto" w:sz="4" w:space="0"/>
              <w:right w:val="single" w:color="auto" w:sz="4" w:space="0"/>
            </w:tcBorders>
            <w:vAlign w:val="center"/>
          </w:tcPr>
          <w:p>
            <w:r>
              <w:t>Note1: The quantization and bit representation of time, power, and phase information (including their necessity) still need to be discussed an appropriate working group.  As a reference to existing timing and power representation in Rel17 [TS 37.355], the upper bounds were computed with timing info as 21 bits for first arrival and 14 bits for relative timing; power/real info as 7 bits for first value and 6 bits for relative powers/real values. While the lower bounds were computed with timing info as 16 bits for first arrival and 9 bits for relative timing; power/real info as 7 bits for first value and 6 bits for relative powers/real values.</w:t>
            </w:r>
          </w:p>
          <w:p>
            <w:pPr>
              <w:pStyle w:val="70"/>
              <w:rPr>
                <w:sz w:val="20"/>
                <w:szCs w:val="20"/>
                <w:u w:val="single"/>
                <w:lang w:val="en-GB" w:eastAsia="zh-CN"/>
              </w:rPr>
            </w:pPr>
            <w:r>
              <w:rPr>
                <w:sz w:val="20"/>
                <w:szCs w:val="20"/>
                <w:u w:val="single"/>
                <w:lang w:val="en-GB" w:eastAsia="zh-CN"/>
              </w:rPr>
              <w:t>Calculation of the lower bound:</w:t>
            </w:r>
          </w:p>
          <w:p>
            <w:pPr>
              <w:pStyle w:val="70"/>
              <w:rPr>
                <w:sz w:val="20"/>
                <w:szCs w:val="20"/>
                <w:lang w:val="en-GB" w:eastAsia="zh-CN"/>
              </w:rPr>
            </w:pPr>
            <w:r>
              <w:rPr>
                <w:sz w:val="20"/>
                <w:szCs w:val="20"/>
                <w:lang w:val="en-GB" w:eastAsia="zh-CN"/>
              </w:rPr>
              <w:t>The lower bound has been calculated as follows (assuming timing only for 9 measurements) per PRS/SRS resource: 16 + 9*8 = 88 bits</w:t>
            </w:r>
          </w:p>
          <w:p>
            <w:pPr>
              <w:pStyle w:val="70"/>
              <w:rPr>
                <w:sz w:val="20"/>
                <w:szCs w:val="20"/>
                <w:u w:val="single"/>
                <w:lang w:val="en-GB" w:eastAsia="zh-CN"/>
              </w:rPr>
            </w:pPr>
            <w:r>
              <w:rPr>
                <w:sz w:val="20"/>
                <w:szCs w:val="20"/>
                <w:u w:val="single"/>
                <w:lang w:val="en-GB" w:eastAsia="zh-CN"/>
              </w:rPr>
              <w:t>Calculation of the upper bound:</w:t>
            </w:r>
          </w:p>
          <w:p>
            <w:pPr>
              <w:pStyle w:val="70"/>
              <w:rPr>
                <w:sz w:val="20"/>
                <w:szCs w:val="20"/>
                <w:u w:val="single"/>
                <w:lang w:val="en-GB" w:eastAsia="zh-CN"/>
              </w:rPr>
            </w:pPr>
            <w:r>
              <w:rPr>
                <w:sz w:val="20"/>
                <w:szCs w:val="20"/>
                <w:lang w:val="en-GB" w:eastAsia="zh-CN"/>
              </w:rPr>
              <w:t>The upper bound has been calculated as follows (assuming timing, power, and phase for 256 measurements) per PRS/SRS resource: (21 + 14*255) + 2*(7 + 6*255) = 6665 bits</w:t>
            </w:r>
          </w:p>
          <w:p>
            <w:pPr>
              <w:rPr>
                <w:lang w:val="en-US" w:eastAsia="zh-CN"/>
              </w:rPr>
            </w:pPr>
            <w:r>
              <w:t xml:space="preserve">As a reference, multipath measurement reporting in the existing specification TS 37.355 is shown below for UE reporting to LMF. Similar measurement reporting exists in TS 38.455 for gNB reporting to LMF </w:t>
            </w:r>
          </w:p>
          <w:p>
            <w:r>
              <w:t xml:space="preserve">nr-DL-PRS-RSRP-Result-r16 </w:t>
            </w:r>
            <w:r>
              <w:rPr>
                <w:rFonts w:eastAsia="Wingdings"/>
              </w:rPr>
              <w:sym w:font="Wingdings" w:char="F0E0"/>
            </w:r>
            <w:r>
              <w:t xml:space="preserve"> 7 bits</w:t>
            </w:r>
          </w:p>
          <w:p>
            <w:r>
              <w:t xml:space="preserve">nr-DL-PRS-RSRP-ResultDiff-r16 </w:t>
            </w:r>
            <w:r>
              <w:rPr>
                <w:rFonts w:eastAsia="Wingdings"/>
              </w:rPr>
              <w:sym w:font="Wingdings" w:char="F0E0"/>
            </w:r>
            <w:r>
              <w:t xml:space="preserve"> 6 bits</w:t>
            </w:r>
          </w:p>
          <w:p>
            <w:r>
              <w:t xml:space="preserve">nr-RSTD-r16 </w:t>
            </w:r>
            <w:r>
              <w:rPr>
                <w:rFonts w:eastAsia="Wingdings"/>
              </w:rPr>
              <w:sym w:font="Wingdings" w:char="F0E0"/>
            </w:r>
            <w:r>
              <w:t xml:space="preserve"> 16 to 21 bits</w:t>
            </w:r>
          </w:p>
          <w:p>
            <w:r>
              <w:t xml:space="preserve">nr-RelativeTimeDifference-r16 </w:t>
            </w:r>
            <w:r>
              <w:rPr>
                <w:rFonts w:eastAsia="Wingdings"/>
              </w:rPr>
              <w:sym w:font="Wingdings" w:char="F0E0"/>
            </w:r>
            <w:r>
              <w:t xml:space="preserve"> 9 to 14 bits</w:t>
            </w:r>
          </w:p>
          <w:p/>
          <w:p>
            <w:pPr>
              <w:rPr>
                <w:u w:val="single"/>
              </w:rPr>
            </w:pPr>
            <w:r>
              <w:rPr>
                <w:u w:val="single"/>
              </w:rPr>
              <w:t>For location information label:</w:t>
            </w:r>
          </w:p>
          <w:p>
            <w:r>
              <w:rPr>
                <w:rStyle w:val="71"/>
              </w:rPr>
              <w:t>The bit representation depends on the type of shape, resolution, and uncertainty used to indicate the location (e.g., ellipsoid point, ellipsoid point with uncertainty circle, high accuracy ellipsoid with uncertainty ellipsoid, etc.) as listed in TS 23.032. The range of bit representation can be 7 bytes to 18 bytes (i.e., 56 to 144 bits).</w:t>
            </w:r>
          </w:p>
          <w:p/>
          <w:p>
            <w:r>
              <w:t>Note 2: measurement types (including their necessity) and sizes/dimension needs further discussion.</w:t>
            </w:r>
          </w:p>
          <w:p>
            <w:r>
              <w:t>Note 3:  Spec allows reporting of up to 64 PRS/SRS resources per frequency layer.. For evaluations, most companies considered up to 18 TRPs.</w:t>
            </w:r>
          </w:p>
          <w:p>
            <w:r>
              <w:t>Note 4: The necessity and feasibility of difference cases (Case1 to Case3b) needs further discussion/conclusion.</w:t>
            </w:r>
          </w:p>
        </w:tc>
      </w:tr>
    </w:tbl>
    <w:p>
      <w:pPr>
        <w:pStyle w:val="35"/>
        <w:numPr>
          <w:ilvl w:val="0"/>
          <w:numId w:val="7"/>
        </w:numPr>
        <w:snapToGrid w:val="0"/>
        <w:spacing w:before="120" w:beforeLines="50" w:line="288" w:lineRule="auto"/>
        <w:ind w:firstLineChars="0"/>
        <w:outlineLvl w:val="0"/>
        <w:rPr>
          <w:rFonts w:ascii="Arial" w:hAnsi="Arial" w:cs="Arial"/>
          <w:b/>
          <w:sz w:val="24"/>
          <w:szCs w:val="24"/>
        </w:rPr>
      </w:pPr>
      <w:r>
        <w:rPr>
          <w:rFonts w:ascii="Arial" w:hAnsi="Arial" w:cs="Arial"/>
          <w:b/>
          <w:sz w:val="24"/>
          <w:szCs w:val="24"/>
        </w:rPr>
        <w:t>Conclusion</w:t>
      </w:r>
    </w:p>
    <w:p>
      <w:pPr>
        <w:pStyle w:val="35"/>
        <w:adjustRightInd w:val="0"/>
        <w:snapToGrid w:val="0"/>
        <w:spacing w:before="120" w:beforeLines="50" w:line="288" w:lineRule="auto"/>
        <w:ind w:firstLine="0" w:firstLineChars="0"/>
        <w:rPr>
          <w:rFonts w:ascii="Times New Roman" w:hAnsi="Times New Roman"/>
          <w:kern w:val="0"/>
          <w:sz w:val="20"/>
          <w:szCs w:val="20"/>
          <w:lang w:val="en-GB" w:eastAsia="en-US"/>
        </w:rPr>
      </w:pPr>
      <w:r>
        <w:rPr>
          <w:rFonts w:ascii="Times New Roman" w:hAnsi="Times New Roman"/>
          <w:kern w:val="0"/>
          <w:sz w:val="20"/>
          <w:szCs w:val="20"/>
          <w:lang w:val="en-GB" w:eastAsia="en-US"/>
        </w:rPr>
        <w:t>In this contribution, we provide our views on data collection requirements and assumptions for Rel-18 AI for Air Interface. The proposals are summarized as follows:</w:t>
      </w:r>
    </w:p>
    <w:p>
      <w:pPr>
        <w:rPr>
          <w:b/>
          <w:i/>
          <w:lang w:eastAsia="zh-CN"/>
        </w:rPr>
      </w:pPr>
      <w:r>
        <w:rPr>
          <w:b/>
          <w:i/>
          <w:u w:val="single"/>
          <w:lang w:eastAsia="zh-CN"/>
        </w:rPr>
        <w:t>Proposal 1</w:t>
      </w:r>
      <w:r>
        <w:rPr>
          <w:b/>
          <w:i/>
          <w:lang w:eastAsia="zh-CN"/>
        </w:rPr>
        <w:t xml:space="preserve">: </w:t>
      </w:r>
      <w:r>
        <w:rPr>
          <w:b/>
          <w:i/>
        </w:rPr>
        <w:t>Regarding CSI compression,</w:t>
      </w:r>
      <w:r>
        <w:rPr>
          <w:rFonts w:hint="eastAsia"/>
          <w:b/>
          <w:i/>
          <w:lang w:eastAsia="zh-CN"/>
        </w:rPr>
        <w:t xml:space="preserve"> </w:t>
      </w:r>
      <w:r>
        <w:rPr>
          <w:b/>
          <w:i/>
          <w:lang w:eastAsia="zh-CN"/>
        </w:rPr>
        <w:t>p</w:t>
      </w:r>
      <w:r>
        <w:rPr>
          <w:rFonts w:hint="eastAsia"/>
          <w:b/>
          <w:i/>
          <w:lang w:eastAsia="zh-CN"/>
        </w:rPr>
        <w:t>ro</w:t>
      </w:r>
      <w:r>
        <w:rPr>
          <w:b/>
          <w:i/>
          <w:lang w:eastAsia="zh-CN"/>
        </w:rPr>
        <w:t>vide the following Table 1 as the replies to Part B.</w:t>
      </w:r>
    </w:p>
    <w:p>
      <w:pPr>
        <w:rPr>
          <w:kern w:val="2"/>
          <w:lang w:eastAsia="zh-CN"/>
        </w:rPr>
      </w:pPr>
    </w:p>
    <w:p>
      <w:pPr>
        <w:pStyle w:val="11"/>
      </w:pPr>
      <w:r>
        <w:rPr>
          <w:rFonts w:hint="eastAsia"/>
        </w:rPr>
        <w:t>T</w:t>
      </w:r>
      <w:r>
        <w:t>able 1 Data collection requirements for CSI compression</w:t>
      </w:r>
    </w:p>
    <w:tbl>
      <w:tblPr>
        <w:tblStyle w:val="20"/>
        <w:tblW w:w="10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1171"/>
        <w:gridCol w:w="1711"/>
        <w:gridCol w:w="2161"/>
        <w:gridCol w:w="1261"/>
        <w:gridCol w:w="990"/>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LCM purpose</w:t>
            </w:r>
          </w:p>
        </w:tc>
        <w:tc>
          <w:tcPr>
            <w:tcW w:w="11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Data content</w:t>
            </w:r>
          </w:p>
        </w:tc>
        <w:tc>
          <w:tcPr>
            <w:tcW w:w="171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Data transfer direction</w:t>
            </w:r>
          </w:p>
        </w:tc>
        <w:tc>
          <w:tcPr>
            <w:tcW w:w="21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Typical data size (per data sample)</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Reporting type</w:t>
            </w:r>
            <w:r>
              <w:rPr>
                <w:b/>
                <w:bCs/>
              </w:rPr>
              <w:br w:type="textWrapping"/>
            </w:r>
          </w:p>
        </w:tc>
        <w:tc>
          <w:tcPr>
            <w:tcW w:w="990"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Typical latency requirement</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Offline model training</w:t>
            </w:r>
          </w:p>
        </w:tc>
        <w:tc>
          <w:tcPr>
            <w:tcW w:w="11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Target CSI (Precoding Matrix or channel matrix)</w:t>
            </w:r>
          </w:p>
        </w:tc>
        <w:tc>
          <w:tcPr>
            <w:tcW w:w="171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UE to training entity</w:t>
            </w:r>
          </w:p>
        </w:tc>
        <w:tc>
          <w:tcPr>
            <w:tcW w:w="21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 xml:space="preserve">Depends on format: </w:t>
            </w:r>
            <w:r>
              <w:br w:type="textWrapping"/>
            </w:r>
            <w:r>
              <w:t xml:space="preserve">~ 1000 bits (eType II), </w:t>
            </w:r>
            <w:r>
              <w:br w:type="textWrapping"/>
            </w:r>
            <w:r>
              <w:t xml:space="preserve">~ A few 1000 bits (eType-like with enhance parameters); </w:t>
            </w:r>
            <w:r>
              <w:br w:type="textWrapping"/>
            </w:r>
            <w:r>
              <w:t>~ 100K bits (float32)</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rPr>
                <w:rFonts w:eastAsia="宋体"/>
              </w:rPr>
              <w:t>No agreement</w:t>
            </w:r>
          </w:p>
        </w:tc>
        <w:tc>
          <w:tcPr>
            <w:tcW w:w="990"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Relaxed</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tcBorders>
              <w:top w:val="single" w:color="auto" w:sz="4" w:space="0"/>
              <w:left w:val="single" w:color="auto" w:sz="4" w:space="0"/>
              <w:bottom w:val="single" w:color="auto" w:sz="4" w:space="0"/>
              <w:right w:val="single" w:color="auto" w:sz="4" w:space="0"/>
            </w:tcBorders>
            <w:vAlign w:val="center"/>
          </w:tcPr>
          <w:p/>
        </w:tc>
        <w:tc>
          <w:tcPr>
            <w:tcW w:w="11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Target CSI (precoding matrix for Type 3 separate training)</w:t>
            </w:r>
          </w:p>
        </w:tc>
        <w:tc>
          <w:tcPr>
            <w:tcW w:w="171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 xml:space="preserve">NW-first: NW-side to UE-side; </w:t>
            </w:r>
            <w:r>
              <w:br w:type="textWrapping"/>
            </w:r>
            <w:r>
              <w:br w:type="textWrapping"/>
            </w:r>
            <w:r>
              <w:t xml:space="preserve">UE-first: UE-side  to NW-side  </w:t>
            </w:r>
          </w:p>
        </w:tc>
        <w:tc>
          <w:tcPr>
            <w:tcW w:w="21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No agreement</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No agreement</w:t>
            </w:r>
          </w:p>
        </w:tc>
        <w:tc>
          <w:tcPr>
            <w:tcW w:w="990"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Relaxed</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Inference</w:t>
            </w:r>
          </w:p>
        </w:tc>
        <w:tc>
          <w:tcPr>
            <w:tcW w:w="11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CSI Feedback</w:t>
            </w:r>
          </w:p>
        </w:tc>
        <w:tc>
          <w:tcPr>
            <w:tcW w:w="171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UE to NW</w:t>
            </w:r>
          </w:p>
        </w:tc>
        <w:tc>
          <w:tcPr>
            <w:tcW w:w="21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 1000 bits</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 xml:space="preserve">periodic, aperiodic, </w:t>
            </w:r>
            <w:r>
              <w:rPr>
                <w:rFonts w:hint="eastAsia"/>
              </w:rPr>
              <w:t>s</w:t>
            </w:r>
            <w:r>
              <w:t>emi-persistent</w:t>
            </w:r>
          </w:p>
        </w:tc>
        <w:tc>
          <w:tcPr>
            <w:tcW w:w="990"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Time-critical</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Can use L1 report similar to legacy CSI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tcBorders>
              <w:left w:val="single" w:color="auto" w:sz="4" w:space="0"/>
              <w:right w:val="single" w:color="auto" w:sz="4" w:space="0"/>
            </w:tcBorders>
            <w:vAlign w:val="center"/>
          </w:tcPr>
          <w:p>
            <w:pPr>
              <w:snapToGrid w:val="0"/>
              <w:spacing w:before="100" w:beforeAutospacing="1" w:after="120"/>
            </w:pPr>
            <w:r>
              <w:t>NW-sided real-time monitoring</w:t>
            </w:r>
          </w:p>
        </w:tc>
        <w:tc>
          <w:tcPr>
            <w:tcW w:w="11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Target CSI (Precoding Matrix)</w:t>
            </w:r>
          </w:p>
        </w:tc>
        <w:tc>
          <w:tcPr>
            <w:tcW w:w="171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UE to NW</w:t>
            </w:r>
          </w:p>
        </w:tc>
        <w:tc>
          <w:tcPr>
            <w:tcW w:w="21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 xml:space="preserve">Depends on format: </w:t>
            </w:r>
            <w:r>
              <w:br w:type="textWrapping"/>
            </w:r>
            <w:r>
              <w:t xml:space="preserve">~ 1000 bits (eType II) </w:t>
            </w:r>
            <w:r>
              <w:br w:type="textWrapping"/>
            </w:r>
            <w:r>
              <w:t xml:space="preserve">~ A few 1000 bits (eType-like with enhanced parameters) </w:t>
            </w:r>
            <w:r>
              <w:br w:type="textWrapping"/>
            </w:r>
            <w:r>
              <w:t>~ 100K bits (float32)</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RAN1 to confirm the feasibility and necessity</w:t>
            </w:r>
          </w:p>
        </w:tc>
        <w:tc>
          <w:tcPr>
            <w:tcW w:w="990"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Near-real-time</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tcBorders>
              <w:left w:val="single" w:color="auto" w:sz="4" w:space="0"/>
              <w:bottom w:val="single" w:color="auto" w:sz="4" w:space="0"/>
              <w:right w:val="single" w:color="auto" w:sz="4" w:space="0"/>
            </w:tcBorders>
            <w:vAlign w:val="center"/>
          </w:tcPr>
          <w:p>
            <w:pPr>
              <w:snapToGrid w:val="0"/>
              <w:spacing w:before="100" w:beforeAutospacing="1" w:after="120"/>
            </w:pPr>
          </w:p>
        </w:tc>
        <w:tc>
          <w:tcPr>
            <w:tcW w:w="11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Calculated performance metrics</w:t>
            </w:r>
          </w:p>
        </w:tc>
        <w:tc>
          <w:tcPr>
            <w:tcW w:w="171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UE to NW</w:t>
            </w:r>
          </w:p>
        </w:tc>
        <w:tc>
          <w:tcPr>
            <w:tcW w:w="21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Small</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RAN1 to confirm the feasibility and necessity</w:t>
            </w:r>
          </w:p>
        </w:tc>
        <w:tc>
          <w:tcPr>
            <w:tcW w:w="990"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Near-real-time</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p>
        </w:tc>
      </w:tr>
    </w:tbl>
    <w:p>
      <w:pPr>
        <w:rPr>
          <w:rFonts w:ascii="Arial" w:hAnsi="Arial" w:cs="Arial"/>
          <w:b/>
          <w:sz w:val="24"/>
          <w:szCs w:val="24"/>
        </w:rPr>
      </w:pPr>
    </w:p>
    <w:p>
      <w:pPr>
        <w:rPr>
          <w:b/>
          <w:i/>
          <w:lang w:eastAsia="zh-CN"/>
        </w:rPr>
      </w:pPr>
      <w:r>
        <w:rPr>
          <w:b/>
          <w:i/>
          <w:u w:val="single"/>
          <w:lang w:eastAsia="zh-CN"/>
        </w:rPr>
        <w:t>Proposal 2</w:t>
      </w:r>
      <w:r>
        <w:rPr>
          <w:b/>
          <w:i/>
          <w:lang w:eastAsia="zh-CN"/>
        </w:rPr>
        <w:t xml:space="preserve">: </w:t>
      </w:r>
      <w:r>
        <w:rPr>
          <w:b/>
          <w:i/>
        </w:rPr>
        <w:t>Regarding CSI prediction,</w:t>
      </w:r>
      <w:r>
        <w:rPr>
          <w:rFonts w:hint="eastAsia"/>
          <w:b/>
          <w:i/>
          <w:lang w:eastAsia="zh-CN"/>
        </w:rPr>
        <w:t xml:space="preserve"> </w:t>
      </w:r>
      <w:r>
        <w:rPr>
          <w:b/>
          <w:i/>
          <w:lang w:eastAsia="zh-CN"/>
        </w:rPr>
        <w:t>p</w:t>
      </w:r>
      <w:r>
        <w:rPr>
          <w:rFonts w:hint="eastAsia"/>
          <w:b/>
          <w:i/>
          <w:lang w:eastAsia="zh-CN"/>
        </w:rPr>
        <w:t>ro</w:t>
      </w:r>
      <w:r>
        <w:rPr>
          <w:b/>
          <w:i/>
          <w:lang w:eastAsia="zh-CN"/>
        </w:rPr>
        <w:t>vide the following Table 2 as the replies to Part B.</w:t>
      </w:r>
    </w:p>
    <w:p>
      <w:pPr>
        <w:rPr>
          <w:b/>
          <w:i/>
          <w:lang w:eastAsia="zh-CN"/>
        </w:rPr>
      </w:pPr>
    </w:p>
    <w:p>
      <w:pPr>
        <w:pStyle w:val="11"/>
      </w:pPr>
      <w:r>
        <w:rPr>
          <w:rFonts w:hint="eastAsia"/>
        </w:rPr>
        <w:t>T</w:t>
      </w:r>
      <w:r>
        <w:t>able 2 Data collection requirements for CSI prediction</w:t>
      </w:r>
    </w:p>
    <w:tbl>
      <w:tblPr>
        <w:tblStyle w:val="20"/>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1620"/>
        <w:gridCol w:w="810"/>
        <w:gridCol w:w="2610"/>
        <w:gridCol w:w="1260"/>
        <w:gridCol w:w="108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pPr>
              <w:snapToGrid w:val="0"/>
              <w:spacing w:before="100" w:beforeAutospacing="1" w:after="120"/>
              <w:rPr>
                <w:b/>
                <w:bCs/>
              </w:rPr>
            </w:pPr>
            <w:r>
              <w:rPr>
                <w:b/>
                <w:bCs/>
              </w:rPr>
              <w:t>LCM purpose</w:t>
            </w:r>
          </w:p>
        </w:tc>
        <w:tc>
          <w:tcPr>
            <w:tcW w:w="1620" w:type="dxa"/>
            <w:vAlign w:val="center"/>
          </w:tcPr>
          <w:p>
            <w:pPr>
              <w:snapToGrid w:val="0"/>
              <w:spacing w:before="100" w:beforeAutospacing="1" w:after="120"/>
              <w:rPr>
                <w:b/>
                <w:bCs/>
              </w:rPr>
            </w:pPr>
            <w:r>
              <w:rPr>
                <w:b/>
                <w:bCs/>
              </w:rPr>
              <w:t>Data content</w:t>
            </w:r>
          </w:p>
        </w:tc>
        <w:tc>
          <w:tcPr>
            <w:tcW w:w="810" w:type="dxa"/>
            <w:vAlign w:val="center"/>
          </w:tcPr>
          <w:p>
            <w:pPr>
              <w:snapToGrid w:val="0"/>
              <w:spacing w:before="100" w:beforeAutospacing="1" w:after="120"/>
              <w:rPr>
                <w:b/>
                <w:bCs/>
              </w:rPr>
            </w:pPr>
            <w:r>
              <w:rPr>
                <w:b/>
                <w:bCs/>
              </w:rPr>
              <w:t>Data transfer direction</w:t>
            </w:r>
          </w:p>
        </w:tc>
        <w:tc>
          <w:tcPr>
            <w:tcW w:w="2610" w:type="dxa"/>
            <w:vAlign w:val="center"/>
          </w:tcPr>
          <w:p>
            <w:pPr>
              <w:snapToGrid w:val="0"/>
              <w:spacing w:before="100" w:beforeAutospacing="1" w:after="120"/>
              <w:rPr>
                <w:b/>
                <w:bCs/>
              </w:rPr>
            </w:pPr>
            <w:r>
              <w:rPr>
                <w:b/>
                <w:bCs/>
              </w:rPr>
              <w:t>Typical data size (per data sample)</w:t>
            </w:r>
          </w:p>
        </w:tc>
        <w:tc>
          <w:tcPr>
            <w:tcW w:w="1260" w:type="dxa"/>
            <w:vAlign w:val="center"/>
          </w:tcPr>
          <w:p>
            <w:pPr>
              <w:snapToGrid w:val="0"/>
              <w:spacing w:before="100" w:beforeAutospacing="1" w:after="120"/>
              <w:rPr>
                <w:b/>
                <w:bCs/>
              </w:rPr>
            </w:pPr>
            <w:r>
              <w:rPr>
                <w:b/>
                <w:bCs/>
              </w:rPr>
              <w:t>Reporting type</w:t>
            </w:r>
            <w:r>
              <w:rPr>
                <w:b/>
                <w:bCs/>
              </w:rPr>
              <w:br w:type="textWrapping"/>
            </w:r>
          </w:p>
        </w:tc>
        <w:tc>
          <w:tcPr>
            <w:tcW w:w="1080" w:type="dxa"/>
            <w:vAlign w:val="center"/>
          </w:tcPr>
          <w:p>
            <w:pPr>
              <w:snapToGrid w:val="0"/>
              <w:spacing w:before="100" w:beforeAutospacing="1" w:after="120"/>
              <w:rPr>
                <w:b/>
                <w:bCs/>
              </w:rPr>
            </w:pPr>
            <w:r>
              <w:rPr>
                <w:b/>
                <w:bCs/>
              </w:rPr>
              <w:t>Typical latency requirement</w:t>
            </w:r>
          </w:p>
        </w:tc>
        <w:tc>
          <w:tcPr>
            <w:tcW w:w="1170" w:type="dxa"/>
            <w:vAlign w:val="center"/>
          </w:tcPr>
          <w:p>
            <w:pPr>
              <w:snapToGrid w:val="0"/>
              <w:spacing w:before="100" w:beforeAutospacing="1" w:after="120"/>
              <w:rPr>
                <w:b/>
                <w:bCs/>
              </w:rPr>
            </w:pPr>
            <w:r>
              <w:rPr>
                <w:b/>
                <w:bCs/>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pPr>
              <w:snapToGrid w:val="0"/>
              <w:spacing w:before="100" w:beforeAutospacing="1" w:after="120"/>
            </w:pPr>
            <w:r>
              <w:t>Offline model training</w:t>
            </w:r>
          </w:p>
        </w:tc>
        <w:tc>
          <w:tcPr>
            <w:tcW w:w="1620" w:type="dxa"/>
            <w:vAlign w:val="center"/>
          </w:tcPr>
          <w:p>
            <w:pPr>
              <w:snapToGrid w:val="0"/>
              <w:spacing w:before="100" w:beforeAutospacing="1" w:after="120"/>
            </w:pPr>
            <w:r>
              <w:t>Target CSI in observation and prediction window</w:t>
            </w:r>
          </w:p>
        </w:tc>
        <w:tc>
          <w:tcPr>
            <w:tcW w:w="810" w:type="dxa"/>
            <w:vAlign w:val="center"/>
          </w:tcPr>
          <w:p>
            <w:pPr>
              <w:snapToGrid w:val="0"/>
              <w:spacing w:before="100" w:beforeAutospacing="1" w:after="120"/>
            </w:pPr>
            <w:r>
              <w:t>UE to training entity</w:t>
            </w:r>
          </w:p>
        </w:tc>
        <w:tc>
          <w:tcPr>
            <w:tcW w:w="2610" w:type="dxa"/>
            <w:vAlign w:val="center"/>
          </w:tcPr>
          <w:p>
            <w:pPr>
              <w:snapToGrid w:val="0"/>
              <w:spacing w:before="100" w:beforeAutospacing="1" w:after="120"/>
            </w:pPr>
            <w:r>
              <w:t xml:space="preserve">Depends on format and window size (assumed 10 samples below): </w:t>
            </w:r>
            <w:r>
              <w:br w:type="textWrapping"/>
            </w:r>
            <w:r>
              <w:t xml:space="preserve">~ 10K bits (eType II), </w:t>
            </w:r>
            <w:r>
              <w:br w:type="textWrapping"/>
            </w:r>
            <w:r>
              <w:t xml:space="preserve">~ A few tens of Kbits (eType-like with enhance parameters); </w:t>
            </w:r>
            <w:r>
              <w:br w:type="textWrapping"/>
            </w:r>
            <w:r>
              <w:t>~ 100K bits (float32)</w:t>
            </w:r>
          </w:p>
        </w:tc>
        <w:tc>
          <w:tcPr>
            <w:tcW w:w="1260" w:type="dxa"/>
            <w:vAlign w:val="center"/>
          </w:tcPr>
          <w:p>
            <w:pPr>
              <w:snapToGrid w:val="0"/>
              <w:spacing w:before="100" w:beforeAutospacing="1" w:after="120"/>
            </w:pPr>
            <w:r>
              <w:rPr>
                <w:rFonts w:eastAsia="宋体"/>
              </w:rPr>
              <w:t>No agreement</w:t>
            </w:r>
          </w:p>
        </w:tc>
        <w:tc>
          <w:tcPr>
            <w:tcW w:w="1080" w:type="dxa"/>
            <w:vAlign w:val="center"/>
          </w:tcPr>
          <w:p>
            <w:pPr>
              <w:snapToGrid w:val="0"/>
              <w:spacing w:before="100" w:beforeAutospacing="1" w:after="120"/>
            </w:pPr>
            <w:r>
              <w:t>Relaxed</w:t>
            </w:r>
          </w:p>
        </w:tc>
        <w:tc>
          <w:tcPr>
            <w:tcW w:w="1170" w:type="dxa"/>
            <w:vAlign w:val="center"/>
          </w:tcPr>
          <w:p>
            <w:pPr>
              <w:snapToGrid w:val="0"/>
              <w:spacing w:before="100" w:beforeAutospacing="1" w:after="1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pPr>
              <w:snapToGrid w:val="0"/>
              <w:spacing w:before="100" w:beforeAutospacing="1" w:after="120"/>
            </w:pPr>
            <w:r>
              <w:t>Inference</w:t>
            </w:r>
          </w:p>
        </w:tc>
        <w:tc>
          <w:tcPr>
            <w:tcW w:w="1620" w:type="dxa"/>
            <w:vAlign w:val="center"/>
          </w:tcPr>
          <w:p>
            <w:pPr>
              <w:snapToGrid w:val="0"/>
              <w:spacing w:before="100" w:beforeAutospacing="1" w:after="120"/>
            </w:pPr>
            <w:r>
              <w:t>Predicted CSI feedback (AI/ML output)</w:t>
            </w:r>
          </w:p>
        </w:tc>
        <w:tc>
          <w:tcPr>
            <w:tcW w:w="810" w:type="dxa"/>
            <w:vAlign w:val="center"/>
          </w:tcPr>
          <w:p>
            <w:pPr>
              <w:snapToGrid w:val="0"/>
              <w:spacing w:before="100" w:beforeAutospacing="1" w:after="120"/>
            </w:pPr>
            <w:r>
              <w:t>UE to NW</w:t>
            </w:r>
          </w:p>
        </w:tc>
        <w:tc>
          <w:tcPr>
            <w:tcW w:w="2610" w:type="dxa"/>
            <w:vAlign w:val="center"/>
          </w:tcPr>
          <w:p>
            <w:pPr>
              <w:snapToGrid w:val="0"/>
              <w:spacing w:before="100" w:beforeAutospacing="1" w:after="120"/>
            </w:pPr>
            <w:r>
              <w:t>~ 1000 bits (eType II)</w:t>
            </w:r>
          </w:p>
        </w:tc>
        <w:tc>
          <w:tcPr>
            <w:tcW w:w="1260" w:type="dxa"/>
            <w:vAlign w:val="center"/>
          </w:tcPr>
          <w:p>
            <w:pPr>
              <w:snapToGrid w:val="0"/>
              <w:spacing w:before="100" w:beforeAutospacing="1" w:after="120"/>
            </w:pPr>
            <w:r>
              <w:t xml:space="preserve">periodic, aperiodic, </w:t>
            </w:r>
            <w:r>
              <w:rPr>
                <w:rFonts w:hint="eastAsia"/>
              </w:rPr>
              <w:t>s</w:t>
            </w:r>
            <w:r>
              <w:t>emi-persistent</w:t>
            </w:r>
          </w:p>
        </w:tc>
        <w:tc>
          <w:tcPr>
            <w:tcW w:w="1080" w:type="dxa"/>
            <w:vAlign w:val="center"/>
          </w:tcPr>
          <w:p>
            <w:pPr>
              <w:snapToGrid w:val="0"/>
              <w:spacing w:before="100" w:beforeAutospacing="1" w:after="120"/>
            </w:pPr>
            <w:r>
              <w:t>Time-critical</w:t>
            </w:r>
          </w:p>
        </w:tc>
        <w:tc>
          <w:tcPr>
            <w:tcW w:w="1170" w:type="dxa"/>
            <w:vAlign w:val="center"/>
          </w:tcPr>
          <w:p>
            <w:pPr>
              <w:snapToGrid w:val="0"/>
              <w:spacing w:before="100" w:beforeAutospacing="1" w:after="120"/>
            </w:pPr>
            <w:r>
              <w:t>Can use L1 report similar to legacy CSI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pPr>
              <w:snapToGrid w:val="0"/>
              <w:spacing w:before="100" w:beforeAutospacing="1" w:after="120"/>
            </w:pPr>
            <w:r>
              <w:t>Real-time monitoring</w:t>
            </w:r>
          </w:p>
        </w:tc>
        <w:tc>
          <w:tcPr>
            <w:tcW w:w="1620" w:type="dxa"/>
            <w:vAlign w:val="center"/>
          </w:tcPr>
          <w:p>
            <w:pPr>
              <w:snapToGrid w:val="0"/>
              <w:spacing w:before="100" w:beforeAutospacing="1" w:after="120"/>
            </w:pPr>
            <w:r>
              <w:t>Predicted CSI and/or the corresponding ground truth</w:t>
            </w:r>
          </w:p>
        </w:tc>
        <w:tc>
          <w:tcPr>
            <w:tcW w:w="810" w:type="dxa"/>
            <w:vAlign w:val="center"/>
          </w:tcPr>
          <w:p>
            <w:pPr>
              <w:snapToGrid w:val="0"/>
              <w:spacing w:before="100" w:beforeAutospacing="1" w:after="120"/>
            </w:pPr>
            <w:r>
              <w:t>UE to NW</w:t>
            </w:r>
          </w:p>
        </w:tc>
        <w:tc>
          <w:tcPr>
            <w:tcW w:w="2610" w:type="dxa"/>
            <w:vAlign w:val="center"/>
          </w:tcPr>
          <w:p>
            <w:pPr>
              <w:snapToGrid w:val="0"/>
              <w:spacing w:before="100" w:beforeAutospacing="1" w:after="120"/>
            </w:pPr>
            <w:r>
              <w:t>~ 1000 bits (eType II)</w:t>
            </w:r>
          </w:p>
        </w:tc>
        <w:tc>
          <w:tcPr>
            <w:tcW w:w="1260" w:type="dxa"/>
            <w:vAlign w:val="center"/>
          </w:tcPr>
          <w:p>
            <w:pPr>
              <w:snapToGrid w:val="0"/>
              <w:spacing w:before="100" w:beforeAutospacing="1" w:after="120"/>
            </w:pPr>
            <w:r>
              <w:t xml:space="preserve">periodic, aperiodic, </w:t>
            </w:r>
            <w:r>
              <w:rPr>
                <w:rFonts w:hint="eastAsia"/>
              </w:rPr>
              <w:t>s</w:t>
            </w:r>
            <w:r>
              <w:t>emi-persistent</w:t>
            </w:r>
          </w:p>
        </w:tc>
        <w:tc>
          <w:tcPr>
            <w:tcW w:w="1080" w:type="dxa"/>
            <w:vAlign w:val="center"/>
          </w:tcPr>
          <w:p>
            <w:pPr>
              <w:snapToGrid w:val="0"/>
              <w:spacing w:before="100" w:beforeAutospacing="1" w:after="120"/>
            </w:pPr>
            <w:r>
              <w:t>Near-real-time</w:t>
            </w:r>
          </w:p>
        </w:tc>
        <w:tc>
          <w:tcPr>
            <w:tcW w:w="1170" w:type="dxa"/>
            <w:vAlign w:val="center"/>
          </w:tcPr>
          <w:p>
            <w:pPr>
              <w:snapToGrid w:val="0"/>
              <w:spacing w:before="100" w:beforeAutospacing="1" w:after="1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pPr>
              <w:snapToGrid w:val="0"/>
              <w:spacing w:before="100" w:beforeAutospacing="1" w:after="120"/>
            </w:pPr>
          </w:p>
        </w:tc>
        <w:tc>
          <w:tcPr>
            <w:tcW w:w="1620" w:type="dxa"/>
            <w:vAlign w:val="center"/>
          </w:tcPr>
          <w:p>
            <w:pPr>
              <w:snapToGrid w:val="0"/>
              <w:spacing w:before="100" w:beforeAutospacing="1" w:after="120"/>
            </w:pPr>
            <w:r>
              <w:t>Calculated performance metrics/</w:t>
            </w:r>
          </w:p>
          <w:p>
            <w:pPr>
              <w:snapToGrid w:val="0"/>
              <w:spacing w:before="100" w:beforeAutospacing="1" w:after="120"/>
            </w:pPr>
            <w:r>
              <w:t>Performance monitoring output</w:t>
            </w:r>
          </w:p>
        </w:tc>
        <w:tc>
          <w:tcPr>
            <w:tcW w:w="810" w:type="dxa"/>
            <w:vAlign w:val="center"/>
          </w:tcPr>
          <w:p>
            <w:pPr>
              <w:snapToGrid w:val="0"/>
              <w:spacing w:before="100" w:beforeAutospacing="1" w:after="120"/>
            </w:pPr>
            <w:r>
              <w:t>UE to NW</w:t>
            </w:r>
          </w:p>
        </w:tc>
        <w:tc>
          <w:tcPr>
            <w:tcW w:w="2610" w:type="dxa"/>
            <w:vAlign w:val="center"/>
          </w:tcPr>
          <w:p>
            <w:pPr>
              <w:snapToGrid w:val="0"/>
              <w:spacing w:before="100" w:beforeAutospacing="1" w:after="120"/>
            </w:pPr>
            <w:r>
              <w:t>Small</w:t>
            </w:r>
          </w:p>
        </w:tc>
        <w:tc>
          <w:tcPr>
            <w:tcW w:w="1260" w:type="dxa"/>
            <w:vAlign w:val="center"/>
          </w:tcPr>
          <w:p>
            <w:pPr>
              <w:snapToGrid w:val="0"/>
              <w:spacing w:before="100" w:beforeAutospacing="1" w:after="120"/>
            </w:pPr>
            <w:r>
              <w:t>periodic, aperiodic, semi-persistent, event driven</w:t>
            </w:r>
          </w:p>
        </w:tc>
        <w:tc>
          <w:tcPr>
            <w:tcW w:w="1080" w:type="dxa"/>
            <w:vAlign w:val="center"/>
          </w:tcPr>
          <w:p>
            <w:pPr>
              <w:snapToGrid w:val="0"/>
              <w:spacing w:before="100" w:beforeAutospacing="1" w:after="120"/>
            </w:pPr>
            <w:r>
              <w:t>Near-real-time</w:t>
            </w:r>
          </w:p>
        </w:tc>
        <w:tc>
          <w:tcPr>
            <w:tcW w:w="1170" w:type="dxa"/>
            <w:vAlign w:val="center"/>
          </w:tcPr>
          <w:p>
            <w:pPr>
              <w:snapToGrid w:val="0"/>
              <w:spacing w:before="100" w:beforeAutospacing="1" w:after="120"/>
            </w:pPr>
          </w:p>
        </w:tc>
      </w:tr>
    </w:tbl>
    <w:p>
      <w:pPr>
        <w:rPr>
          <w:b/>
          <w:i/>
          <w:u w:val="single"/>
          <w:lang w:eastAsia="zh-CN"/>
        </w:rPr>
      </w:pPr>
    </w:p>
    <w:p>
      <w:pPr>
        <w:rPr>
          <w:b/>
          <w:i/>
          <w:lang w:eastAsia="zh-CN"/>
        </w:rPr>
      </w:pPr>
      <w:r>
        <w:rPr>
          <w:b/>
          <w:i/>
          <w:u w:val="single"/>
          <w:lang w:eastAsia="zh-CN"/>
        </w:rPr>
        <w:t xml:space="preserve">Proposal </w:t>
      </w:r>
      <w:r>
        <w:rPr>
          <w:rFonts w:hint="eastAsia"/>
          <w:b/>
          <w:i/>
          <w:u w:val="single"/>
          <w:lang w:val="en-US" w:eastAsia="zh-CN"/>
        </w:rPr>
        <w:t>3</w:t>
      </w:r>
      <w:r>
        <w:rPr>
          <w:b/>
          <w:i/>
          <w:lang w:eastAsia="zh-CN"/>
        </w:rPr>
        <w:t xml:space="preserve">: </w:t>
      </w:r>
      <w:r>
        <w:rPr>
          <w:b/>
          <w:i/>
        </w:rPr>
        <w:t xml:space="preserve">Regarding </w:t>
      </w:r>
      <w:r>
        <w:rPr>
          <w:rFonts w:hint="eastAsia"/>
          <w:b/>
          <w:i/>
        </w:rPr>
        <w:t>beam management</w:t>
      </w:r>
      <w:r>
        <w:rPr>
          <w:b/>
          <w:i/>
        </w:rPr>
        <w:t>,</w:t>
      </w:r>
      <w:r>
        <w:rPr>
          <w:rFonts w:hint="eastAsia"/>
          <w:b/>
          <w:i/>
          <w:lang w:eastAsia="zh-CN"/>
        </w:rPr>
        <w:t xml:space="preserve"> </w:t>
      </w:r>
      <w:r>
        <w:rPr>
          <w:b/>
          <w:i/>
          <w:lang w:eastAsia="zh-CN"/>
        </w:rPr>
        <w:t>p</w:t>
      </w:r>
      <w:r>
        <w:rPr>
          <w:rFonts w:hint="eastAsia"/>
          <w:b/>
          <w:i/>
          <w:lang w:eastAsia="zh-CN"/>
        </w:rPr>
        <w:t>ro</w:t>
      </w:r>
      <w:r>
        <w:rPr>
          <w:b/>
          <w:i/>
          <w:lang w:eastAsia="zh-CN"/>
        </w:rPr>
        <w:t xml:space="preserve">vide the following Table </w:t>
      </w:r>
      <w:r>
        <w:rPr>
          <w:rFonts w:hint="eastAsia"/>
          <w:b/>
          <w:i/>
          <w:lang w:val="en-US" w:eastAsia="zh-CN"/>
        </w:rPr>
        <w:t>3</w:t>
      </w:r>
      <w:r>
        <w:rPr>
          <w:b/>
          <w:i/>
          <w:lang w:eastAsia="zh-CN"/>
        </w:rPr>
        <w:t xml:space="preserve"> as the replies to Part B.</w:t>
      </w:r>
    </w:p>
    <w:p>
      <w:pPr>
        <w:rPr>
          <w:kern w:val="2"/>
          <w:lang w:eastAsia="zh-CN"/>
        </w:rPr>
      </w:pPr>
    </w:p>
    <w:p>
      <w:pPr>
        <w:pStyle w:val="11"/>
      </w:pPr>
      <w:r>
        <w:rPr>
          <w:rFonts w:hint="eastAsia"/>
        </w:rPr>
        <w:t>T</w:t>
      </w:r>
      <w:r>
        <w:t xml:space="preserve">able </w:t>
      </w:r>
      <w:r>
        <w:rPr>
          <w:rFonts w:hint="eastAsia"/>
          <w:lang w:eastAsia="zh-CN"/>
        </w:rPr>
        <w:t>3</w:t>
      </w:r>
      <w:r>
        <w:t xml:space="preserve"> Data collection requirements for </w:t>
      </w:r>
      <w:r>
        <w:rPr>
          <w:rFonts w:hint="eastAsia"/>
          <w:lang w:eastAsia="zh-CN"/>
        </w:rPr>
        <w:t>beam manage</w:t>
      </w:r>
      <w:r>
        <w:t>ment</w:t>
      </w:r>
    </w:p>
    <w:tbl>
      <w:tblPr>
        <w:tblStyle w:val="69"/>
        <w:tblW w:w="1008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3"/>
        <w:gridCol w:w="1170"/>
        <w:gridCol w:w="1957"/>
        <w:gridCol w:w="1193"/>
        <w:gridCol w:w="1507"/>
        <w:gridCol w:w="990"/>
        <w:gridCol w:w="90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trPr>
        <w:tc>
          <w:tcPr>
            <w:tcW w:w="1193" w:type="dxa"/>
            <w:vAlign w:val="center"/>
          </w:tcPr>
          <w:p>
            <w:pPr>
              <w:spacing w:before="120" w:line="312" w:lineRule="auto"/>
              <w:jc w:val="both"/>
              <w:rPr>
                <w:rFonts w:eastAsia="宋体"/>
                <w:b/>
                <w:lang w:eastAsia="ko-KR"/>
              </w:rPr>
            </w:pPr>
            <w:r>
              <w:rPr>
                <w:rFonts w:eastAsia="宋体"/>
                <w:b/>
                <w:bCs/>
                <w:lang w:eastAsia="ko-KR"/>
              </w:rPr>
              <w:t>LCM purpose</w:t>
            </w:r>
          </w:p>
        </w:tc>
        <w:tc>
          <w:tcPr>
            <w:tcW w:w="1170" w:type="dxa"/>
            <w:vAlign w:val="center"/>
          </w:tcPr>
          <w:p>
            <w:pPr>
              <w:spacing w:before="120" w:line="312" w:lineRule="auto"/>
              <w:jc w:val="both"/>
              <w:rPr>
                <w:rFonts w:eastAsia="宋体"/>
                <w:b/>
                <w:bCs/>
                <w:lang w:eastAsia="ko-KR"/>
              </w:rPr>
            </w:pPr>
            <w:r>
              <w:rPr>
                <w:rFonts w:eastAsia="宋体"/>
                <w:b/>
                <w:bCs/>
                <w:lang w:eastAsia="ko-KR"/>
              </w:rPr>
              <w:t>UE-side/NW-side models</w:t>
            </w:r>
          </w:p>
        </w:tc>
        <w:tc>
          <w:tcPr>
            <w:tcW w:w="1957" w:type="dxa"/>
            <w:vAlign w:val="center"/>
          </w:tcPr>
          <w:p>
            <w:pPr>
              <w:spacing w:before="120" w:line="312" w:lineRule="auto"/>
              <w:jc w:val="both"/>
              <w:rPr>
                <w:rFonts w:eastAsia="宋体"/>
                <w:b/>
                <w:lang w:eastAsia="ko-KR"/>
              </w:rPr>
            </w:pPr>
            <w:r>
              <w:rPr>
                <w:rFonts w:eastAsia="宋体"/>
                <w:b/>
                <w:lang w:eastAsia="ko-KR"/>
              </w:rPr>
              <w:t>Data content</w:t>
            </w:r>
          </w:p>
        </w:tc>
        <w:tc>
          <w:tcPr>
            <w:tcW w:w="1193" w:type="dxa"/>
            <w:vAlign w:val="center"/>
          </w:tcPr>
          <w:p>
            <w:pPr>
              <w:spacing w:before="120" w:line="312" w:lineRule="auto"/>
              <w:jc w:val="both"/>
              <w:rPr>
                <w:rFonts w:eastAsia="宋体"/>
                <w:b/>
                <w:lang w:eastAsia="ko-KR"/>
              </w:rPr>
            </w:pPr>
            <w:r>
              <w:rPr>
                <w:rFonts w:eastAsia="宋体"/>
                <w:b/>
                <w:bCs/>
                <w:lang w:eastAsia="ko-KR"/>
              </w:rPr>
              <w:t>Data transfer direction</w:t>
            </w:r>
          </w:p>
        </w:tc>
        <w:tc>
          <w:tcPr>
            <w:tcW w:w="1507" w:type="dxa"/>
            <w:vAlign w:val="center"/>
          </w:tcPr>
          <w:p>
            <w:pPr>
              <w:spacing w:before="120" w:line="312" w:lineRule="auto"/>
              <w:jc w:val="both"/>
              <w:rPr>
                <w:rFonts w:eastAsia="宋体"/>
                <w:b/>
                <w:lang w:eastAsia="ko-KR"/>
              </w:rPr>
            </w:pPr>
            <w:r>
              <w:rPr>
                <w:rFonts w:eastAsia="宋体"/>
                <w:b/>
                <w:bCs/>
                <w:lang w:eastAsia="ko-KR"/>
              </w:rPr>
              <w:t>Typical data size (per sample)</w:t>
            </w:r>
          </w:p>
        </w:tc>
        <w:tc>
          <w:tcPr>
            <w:tcW w:w="990" w:type="dxa"/>
            <w:vAlign w:val="center"/>
          </w:tcPr>
          <w:p>
            <w:pPr>
              <w:spacing w:before="120" w:line="312" w:lineRule="auto"/>
              <w:jc w:val="both"/>
              <w:rPr>
                <w:rFonts w:eastAsia="宋体"/>
                <w:b/>
                <w:lang w:eastAsia="ko-KR"/>
              </w:rPr>
            </w:pPr>
            <w:r>
              <w:rPr>
                <w:rFonts w:eastAsia="宋体"/>
                <w:b/>
                <w:bCs/>
                <w:lang w:eastAsia="ko-KR"/>
              </w:rPr>
              <w:t>Reporting type</w:t>
            </w:r>
          </w:p>
        </w:tc>
        <w:tc>
          <w:tcPr>
            <w:tcW w:w="900" w:type="dxa"/>
            <w:vAlign w:val="center"/>
          </w:tcPr>
          <w:p>
            <w:pPr>
              <w:spacing w:before="120" w:line="312" w:lineRule="auto"/>
              <w:jc w:val="both"/>
              <w:rPr>
                <w:rFonts w:eastAsia="宋体"/>
                <w:b/>
                <w:lang w:eastAsia="ko-KR"/>
              </w:rPr>
            </w:pPr>
            <w:r>
              <w:rPr>
                <w:rFonts w:eastAsia="宋体"/>
                <w:b/>
                <w:lang w:eastAsia="ko-KR"/>
              </w:rPr>
              <w:t>Typical latency requirement</w:t>
            </w:r>
          </w:p>
        </w:tc>
        <w:tc>
          <w:tcPr>
            <w:tcW w:w="1170" w:type="dxa"/>
            <w:vAlign w:val="center"/>
          </w:tcPr>
          <w:p>
            <w:pPr>
              <w:spacing w:before="120" w:line="312" w:lineRule="auto"/>
              <w:jc w:val="both"/>
              <w:rPr>
                <w:rFonts w:eastAsia="宋体"/>
                <w:b/>
                <w:bCs/>
                <w:lang w:eastAsia="ko-KR"/>
              </w:rPr>
            </w:pPr>
            <w:r>
              <w:rPr>
                <w:rFonts w:eastAsia="宋体"/>
                <w:b/>
                <w:bCs/>
                <w:lang w:eastAsia="ko-KR"/>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1193" w:type="dxa"/>
            <w:vMerge w:val="restart"/>
            <w:vAlign w:val="center"/>
          </w:tcPr>
          <w:p>
            <w:pPr>
              <w:spacing w:before="120" w:line="312" w:lineRule="auto"/>
              <w:jc w:val="both"/>
              <w:rPr>
                <w:rFonts w:eastAsia="宋体"/>
                <w:lang w:eastAsia="ko-KR"/>
              </w:rPr>
            </w:pPr>
            <w:r>
              <w:rPr>
                <w:rFonts w:eastAsia="宋体"/>
                <w:lang w:eastAsia="ko-KR"/>
              </w:rPr>
              <w:t>model training</w:t>
            </w:r>
          </w:p>
        </w:tc>
        <w:tc>
          <w:tcPr>
            <w:tcW w:w="1170" w:type="dxa"/>
            <w:vAlign w:val="center"/>
          </w:tcPr>
          <w:p>
            <w:pPr>
              <w:spacing w:before="120" w:line="312" w:lineRule="auto"/>
              <w:jc w:val="both"/>
              <w:rPr>
                <w:rFonts w:eastAsia="宋体"/>
                <w:lang w:eastAsia="ko-KR"/>
              </w:rPr>
            </w:pPr>
            <w:r>
              <w:rPr>
                <w:rFonts w:eastAsia="宋体"/>
                <w:lang w:eastAsia="ko-KR"/>
              </w:rPr>
              <w:t>UE-side</w:t>
            </w:r>
          </w:p>
        </w:tc>
        <w:tc>
          <w:tcPr>
            <w:tcW w:w="1957" w:type="dxa"/>
            <w:vAlign w:val="center"/>
          </w:tcPr>
          <w:p>
            <w:pPr>
              <w:spacing w:before="120" w:line="312" w:lineRule="auto"/>
              <w:jc w:val="both"/>
              <w:rPr>
                <w:rFonts w:eastAsia="宋体"/>
                <w:lang w:eastAsia="ko-KR"/>
              </w:rPr>
            </w:pPr>
            <w:r>
              <w:rPr>
                <w:rFonts w:eastAsia="宋体"/>
                <w:lang w:eastAsia="ko-KR"/>
              </w:rPr>
              <w:t>For Set B: L1-RSRPs [and beam-IDs]</w:t>
            </w:r>
          </w:p>
          <w:p>
            <w:pPr>
              <w:spacing w:before="120" w:line="312" w:lineRule="auto"/>
              <w:jc w:val="both"/>
              <w:rPr>
                <w:rFonts w:eastAsia="宋体"/>
                <w:lang w:eastAsia="ko-KR"/>
              </w:rPr>
            </w:pPr>
            <w:r>
              <w:rPr>
                <w:rFonts w:eastAsia="宋体"/>
                <w:lang w:eastAsia="ko-KR"/>
              </w:rPr>
              <w:t>For Set A: L1-RSRPs and/or beam-IDs</w:t>
            </w:r>
          </w:p>
        </w:tc>
        <w:tc>
          <w:tcPr>
            <w:tcW w:w="1193" w:type="dxa"/>
            <w:vAlign w:val="center"/>
          </w:tcPr>
          <w:p>
            <w:pPr>
              <w:spacing w:before="120" w:line="312" w:lineRule="auto"/>
              <w:jc w:val="both"/>
              <w:rPr>
                <w:rFonts w:eastAsia="宋体"/>
                <w:lang w:eastAsia="ko-KR"/>
              </w:rPr>
            </w:pPr>
            <w:r>
              <w:rPr>
                <w:rFonts w:eastAsia="宋体"/>
                <w:lang w:eastAsia="ko-KR"/>
              </w:rPr>
              <w:t>From UE</w:t>
            </w:r>
          </w:p>
          <w:p>
            <w:pPr>
              <w:spacing w:before="120" w:line="312" w:lineRule="auto"/>
              <w:jc w:val="both"/>
              <w:rPr>
                <w:rFonts w:eastAsia="宋体"/>
                <w:lang w:eastAsia="ko-KR"/>
              </w:rPr>
            </w:pPr>
          </w:p>
        </w:tc>
        <w:tc>
          <w:tcPr>
            <w:tcW w:w="1507" w:type="dxa"/>
            <w:vAlign w:val="center"/>
          </w:tcPr>
          <w:p>
            <w:pPr>
              <w:spacing w:before="120" w:line="312" w:lineRule="auto"/>
              <w:jc w:val="both"/>
              <w:rPr>
                <w:rFonts w:eastAsia="宋体"/>
                <w:lang w:eastAsia="ko-KR"/>
              </w:rPr>
            </w:pPr>
            <w:r>
              <w:rPr>
                <w:rFonts w:eastAsia="宋体"/>
                <w:lang w:eastAsia="ko-KR"/>
              </w:rPr>
              <w:t>Up to ~500 bits for RSRPs</w:t>
            </w:r>
          </w:p>
          <w:p>
            <w:pPr>
              <w:spacing w:before="120" w:line="312" w:lineRule="auto"/>
              <w:jc w:val="both"/>
              <w:rPr>
                <w:rFonts w:eastAsia="宋体"/>
                <w:lang w:eastAsia="ko-KR"/>
              </w:rPr>
            </w:pPr>
            <w:r>
              <w:rPr>
                <w:rFonts w:eastAsia="宋体"/>
                <w:lang w:eastAsia="ko-KR"/>
              </w:rPr>
              <w:t>Up to ~100 bits for beam IDs.</w:t>
            </w:r>
          </w:p>
        </w:tc>
        <w:tc>
          <w:tcPr>
            <w:tcW w:w="990" w:type="dxa"/>
            <w:vAlign w:val="center"/>
          </w:tcPr>
          <w:p>
            <w:pPr>
              <w:spacing w:before="120" w:line="312" w:lineRule="auto"/>
              <w:jc w:val="both"/>
              <w:rPr>
                <w:rFonts w:eastAsia="宋体"/>
                <w:lang w:eastAsia="ko-KR"/>
              </w:rPr>
            </w:pPr>
            <w:r>
              <w:rPr>
                <w:rFonts w:eastAsia="宋体"/>
                <w:lang w:eastAsia="ko-KR"/>
              </w:rPr>
              <w:t>No agreement</w:t>
            </w:r>
          </w:p>
        </w:tc>
        <w:tc>
          <w:tcPr>
            <w:tcW w:w="900" w:type="dxa"/>
            <w:vAlign w:val="center"/>
          </w:tcPr>
          <w:p>
            <w:pPr>
              <w:spacing w:before="120" w:line="312" w:lineRule="auto"/>
              <w:jc w:val="both"/>
              <w:rPr>
                <w:rFonts w:eastAsia="宋体"/>
                <w:lang w:eastAsia="ko-KR"/>
              </w:rPr>
            </w:pPr>
            <w:r>
              <w:rPr>
                <w:rFonts w:eastAsia="宋体"/>
                <w:lang w:eastAsia="ko-KR"/>
              </w:rPr>
              <w:t>Relaxed</w:t>
            </w:r>
          </w:p>
        </w:tc>
        <w:tc>
          <w:tcPr>
            <w:tcW w:w="1170" w:type="dxa"/>
            <w:vAlign w:val="center"/>
          </w:tcPr>
          <w:p>
            <w:pPr>
              <w:spacing w:before="120" w:line="312" w:lineRule="auto"/>
              <w:jc w:val="both"/>
              <w:rPr>
                <w:rFonts w:eastAsia="宋体"/>
                <w:lang w:eastAsia="ko-KR"/>
              </w:rPr>
            </w:pPr>
          </w:p>
          <w:p>
            <w:pPr>
              <w:spacing w:before="120" w:line="312" w:lineRule="auto"/>
              <w:jc w:val="both"/>
              <w:rPr>
                <w:rFonts w:eastAsia="宋体"/>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1" w:hRule="atLeast"/>
        </w:trPr>
        <w:tc>
          <w:tcPr>
            <w:tcW w:w="1193" w:type="dxa"/>
            <w:vMerge w:val="continue"/>
            <w:vAlign w:val="center"/>
          </w:tcPr>
          <w:p>
            <w:pPr>
              <w:spacing w:before="120" w:line="312" w:lineRule="auto"/>
              <w:jc w:val="both"/>
              <w:rPr>
                <w:rFonts w:eastAsia="宋体"/>
                <w:lang w:eastAsia="ko-KR"/>
              </w:rPr>
            </w:pPr>
          </w:p>
        </w:tc>
        <w:tc>
          <w:tcPr>
            <w:tcW w:w="1170" w:type="dxa"/>
            <w:vAlign w:val="center"/>
          </w:tcPr>
          <w:p>
            <w:pPr>
              <w:spacing w:before="120" w:line="312" w:lineRule="auto"/>
              <w:jc w:val="both"/>
              <w:rPr>
                <w:rFonts w:eastAsia="宋体"/>
                <w:lang w:eastAsia="ko-KR"/>
              </w:rPr>
            </w:pPr>
            <w:r>
              <w:rPr>
                <w:rFonts w:eastAsia="宋体"/>
                <w:lang w:eastAsia="ko-KR"/>
              </w:rPr>
              <w:t>NW-side</w:t>
            </w:r>
          </w:p>
        </w:tc>
        <w:tc>
          <w:tcPr>
            <w:tcW w:w="1957" w:type="dxa"/>
            <w:vAlign w:val="center"/>
          </w:tcPr>
          <w:p>
            <w:pPr>
              <w:tabs>
                <w:tab w:val="left" w:pos="1440"/>
              </w:tabs>
              <w:spacing w:line="276" w:lineRule="auto"/>
              <w:contextualSpacing/>
              <w:jc w:val="both"/>
              <w:rPr>
                <w:rFonts w:eastAsia="Batang"/>
                <w:kern w:val="24"/>
                <w:lang w:eastAsia="ko-KR"/>
              </w:rPr>
            </w:pPr>
            <w:r>
              <w:rPr>
                <w:rFonts w:eastAsia="Batang"/>
                <w:kern w:val="24"/>
                <w:lang w:eastAsia="ko-KR"/>
              </w:rPr>
              <w:t>For Set B: L1-RSRPs [and beam-IDs]</w:t>
            </w:r>
          </w:p>
          <w:p>
            <w:pPr>
              <w:spacing w:line="276" w:lineRule="auto"/>
              <w:contextualSpacing/>
              <w:jc w:val="both"/>
              <w:rPr>
                <w:rFonts w:eastAsia="Batang"/>
                <w:kern w:val="24"/>
                <w:lang w:eastAsia="ko-KR"/>
              </w:rPr>
            </w:pPr>
          </w:p>
          <w:p>
            <w:pPr>
              <w:spacing w:line="276" w:lineRule="auto"/>
              <w:contextualSpacing/>
              <w:jc w:val="both"/>
              <w:rPr>
                <w:rFonts w:eastAsia="宋体"/>
                <w:lang w:eastAsia="ko-KR"/>
              </w:rPr>
            </w:pPr>
            <w:r>
              <w:rPr>
                <w:rFonts w:eastAsia="Batang"/>
                <w:kern w:val="24"/>
                <w:lang w:eastAsia="ko-KR"/>
              </w:rPr>
              <w:t>For Set A: L1-RSRPs and/or beam-IDs</w:t>
            </w:r>
          </w:p>
        </w:tc>
        <w:tc>
          <w:tcPr>
            <w:tcW w:w="1193" w:type="dxa"/>
            <w:vAlign w:val="center"/>
          </w:tcPr>
          <w:p>
            <w:pPr>
              <w:spacing w:before="120" w:line="312" w:lineRule="auto"/>
              <w:jc w:val="both"/>
              <w:rPr>
                <w:rFonts w:eastAsia="宋体"/>
                <w:lang w:eastAsia="ko-KR"/>
              </w:rPr>
            </w:pPr>
            <w:r>
              <w:rPr>
                <w:rFonts w:eastAsia="宋体"/>
                <w:lang w:eastAsia="ko-KR"/>
              </w:rPr>
              <w:t>From UE</w:t>
            </w:r>
          </w:p>
        </w:tc>
        <w:tc>
          <w:tcPr>
            <w:tcW w:w="1507" w:type="dxa"/>
            <w:vAlign w:val="center"/>
          </w:tcPr>
          <w:p>
            <w:pPr>
              <w:spacing w:before="120" w:line="312" w:lineRule="auto"/>
              <w:jc w:val="both"/>
              <w:rPr>
                <w:rFonts w:eastAsia="宋体"/>
                <w:lang w:eastAsia="ko-KR"/>
              </w:rPr>
            </w:pPr>
            <w:r>
              <w:rPr>
                <w:rFonts w:eastAsia="宋体"/>
                <w:lang w:eastAsia="ko-KR"/>
              </w:rPr>
              <w:t>Up to ~500 bits for RSRPs</w:t>
            </w:r>
          </w:p>
          <w:p>
            <w:pPr>
              <w:spacing w:before="120" w:line="312" w:lineRule="auto"/>
              <w:jc w:val="both"/>
              <w:rPr>
                <w:rFonts w:eastAsia="宋体"/>
                <w:lang w:eastAsia="ko-KR"/>
              </w:rPr>
            </w:pPr>
            <w:r>
              <w:rPr>
                <w:rFonts w:eastAsia="宋体"/>
                <w:lang w:eastAsia="ko-KR"/>
              </w:rPr>
              <w:t>Up to ~100 bits for beam IDs.</w:t>
            </w:r>
          </w:p>
        </w:tc>
        <w:tc>
          <w:tcPr>
            <w:tcW w:w="990" w:type="dxa"/>
            <w:vAlign w:val="center"/>
          </w:tcPr>
          <w:p>
            <w:pPr>
              <w:spacing w:before="120" w:line="312" w:lineRule="auto"/>
              <w:jc w:val="both"/>
              <w:rPr>
                <w:rFonts w:eastAsia="宋体"/>
                <w:lang w:eastAsia="ko-KR"/>
              </w:rPr>
            </w:pPr>
            <w:r>
              <w:rPr>
                <w:rFonts w:eastAsia="宋体"/>
                <w:lang w:eastAsia="ko-KR"/>
              </w:rPr>
              <w:t>No agreement</w:t>
            </w:r>
          </w:p>
        </w:tc>
        <w:tc>
          <w:tcPr>
            <w:tcW w:w="900" w:type="dxa"/>
            <w:vAlign w:val="center"/>
          </w:tcPr>
          <w:p>
            <w:pPr>
              <w:spacing w:before="120" w:line="312" w:lineRule="auto"/>
              <w:jc w:val="both"/>
              <w:rPr>
                <w:rFonts w:eastAsia="宋体"/>
                <w:lang w:eastAsia="ko-KR"/>
              </w:rPr>
            </w:pPr>
            <w:r>
              <w:rPr>
                <w:rFonts w:eastAsia="宋体"/>
                <w:lang w:eastAsia="ko-KR"/>
              </w:rPr>
              <w:t>Relaxed</w:t>
            </w:r>
          </w:p>
        </w:tc>
        <w:tc>
          <w:tcPr>
            <w:tcW w:w="1170" w:type="dxa"/>
            <w:vAlign w:val="center"/>
          </w:tcPr>
          <w:p>
            <w:pPr>
              <w:spacing w:before="120" w:line="312" w:lineRule="auto"/>
              <w:jc w:val="both"/>
              <w:rPr>
                <w:rFonts w:eastAsia="宋体"/>
                <w:lang w:eastAsia="ko-KR"/>
              </w:rPr>
            </w:pPr>
            <w:r>
              <w:rPr>
                <w:rFonts w:eastAsia="宋体"/>
                <w:lang w:eastAsia="ko-KR"/>
              </w:rPr>
              <w:t>Agreed options to be studied as data content.</w:t>
            </w:r>
          </w:p>
          <w:p>
            <w:pPr>
              <w:spacing w:before="120" w:line="312" w:lineRule="auto"/>
              <w:jc w:val="both"/>
              <w:rPr>
                <w:rFonts w:eastAsia="宋体"/>
                <w:lang w:eastAsia="ko-KR"/>
              </w:rPr>
            </w:pPr>
            <w:r>
              <w:rPr>
                <w:rFonts w:eastAsia="宋体"/>
                <w:lang w:eastAsia="ko-KR"/>
              </w:rPr>
              <w:t>No consensus on reporting type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193" w:type="dxa"/>
            <w:vMerge w:val="restart"/>
            <w:vAlign w:val="center"/>
          </w:tcPr>
          <w:p>
            <w:pPr>
              <w:spacing w:before="120" w:line="312" w:lineRule="auto"/>
              <w:jc w:val="both"/>
              <w:rPr>
                <w:rFonts w:eastAsia="宋体"/>
                <w:lang w:eastAsia="ko-KR"/>
              </w:rPr>
            </w:pPr>
            <w:r>
              <w:rPr>
                <w:rFonts w:eastAsia="宋体"/>
                <w:lang w:eastAsia="ko-KR"/>
              </w:rPr>
              <w:t>Inference</w:t>
            </w:r>
          </w:p>
        </w:tc>
        <w:tc>
          <w:tcPr>
            <w:tcW w:w="1170" w:type="dxa"/>
            <w:vAlign w:val="center"/>
          </w:tcPr>
          <w:p>
            <w:pPr>
              <w:spacing w:before="120" w:line="312" w:lineRule="auto"/>
              <w:jc w:val="both"/>
              <w:rPr>
                <w:rFonts w:eastAsia="宋体"/>
                <w:lang w:eastAsia="ko-KR"/>
              </w:rPr>
            </w:pPr>
            <w:r>
              <w:rPr>
                <w:rFonts w:eastAsia="宋体"/>
                <w:lang w:eastAsia="ko-KR"/>
              </w:rPr>
              <w:t>UE-side</w:t>
            </w:r>
          </w:p>
        </w:tc>
        <w:tc>
          <w:tcPr>
            <w:tcW w:w="1957" w:type="dxa"/>
            <w:vAlign w:val="center"/>
          </w:tcPr>
          <w:p>
            <w:pPr>
              <w:tabs>
                <w:tab w:val="left" w:pos="1440"/>
              </w:tabs>
              <w:spacing w:line="276" w:lineRule="auto"/>
              <w:contextualSpacing/>
              <w:jc w:val="both"/>
              <w:rPr>
                <w:rFonts w:eastAsia="宋体"/>
                <w:lang w:eastAsia="ko-KR"/>
              </w:rPr>
            </w:pPr>
            <w:r>
              <w:rPr>
                <w:rFonts w:eastAsia="宋体"/>
                <w:lang w:eastAsia="ko-KR"/>
              </w:rPr>
              <w:t>L1-RSRPs and/or beam-IDs for Set A</w:t>
            </w:r>
          </w:p>
        </w:tc>
        <w:tc>
          <w:tcPr>
            <w:tcW w:w="1193" w:type="dxa"/>
            <w:vAlign w:val="center"/>
          </w:tcPr>
          <w:p>
            <w:pPr>
              <w:spacing w:before="120" w:line="312" w:lineRule="auto"/>
              <w:jc w:val="both"/>
              <w:rPr>
                <w:rFonts w:eastAsia="宋体"/>
                <w:lang w:eastAsia="ko-KR"/>
              </w:rPr>
            </w:pPr>
            <w:r>
              <w:rPr>
                <w:rFonts w:eastAsia="宋体"/>
                <w:lang w:eastAsia="ko-KR"/>
              </w:rPr>
              <w:t>UE to NW</w:t>
            </w:r>
          </w:p>
        </w:tc>
        <w:tc>
          <w:tcPr>
            <w:tcW w:w="1507" w:type="dxa"/>
            <w:vAlign w:val="center"/>
          </w:tcPr>
          <w:p>
            <w:pPr>
              <w:spacing w:before="120" w:line="312" w:lineRule="auto"/>
              <w:jc w:val="both"/>
              <w:rPr>
                <w:rFonts w:eastAsia="宋体"/>
                <w:lang w:eastAsia="ko-KR"/>
              </w:rPr>
            </w:pPr>
            <w:r>
              <w:rPr>
                <w:rFonts w:eastAsia="宋体"/>
                <w:lang w:eastAsia="ko-KR"/>
              </w:rPr>
              <w:t>Small</w:t>
            </w:r>
          </w:p>
        </w:tc>
        <w:tc>
          <w:tcPr>
            <w:tcW w:w="990" w:type="dxa"/>
            <w:vAlign w:val="center"/>
          </w:tcPr>
          <w:p>
            <w:pPr>
              <w:spacing w:before="120" w:line="312" w:lineRule="auto"/>
              <w:jc w:val="both"/>
              <w:rPr>
                <w:rFonts w:eastAsia="宋体"/>
                <w:lang w:eastAsia="ko-KR"/>
              </w:rPr>
            </w:pPr>
            <w:r>
              <w:rPr>
                <w:rFonts w:eastAsia="宋体"/>
                <w:lang w:eastAsia="ko-KR"/>
              </w:rPr>
              <w:t>No agreement</w:t>
            </w:r>
          </w:p>
        </w:tc>
        <w:tc>
          <w:tcPr>
            <w:tcW w:w="900" w:type="dxa"/>
            <w:vAlign w:val="center"/>
          </w:tcPr>
          <w:p>
            <w:pPr>
              <w:spacing w:before="120" w:line="312" w:lineRule="auto"/>
              <w:jc w:val="both"/>
              <w:rPr>
                <w:rFonts w:eastAsia="宋体"/>
                <w:lang w:eastAsia="ko-KR"/>
              </w:rPr>
            </w:pPr>
            <w:r>
              <w:rPr>
                <w:rFonts w:eastAsia="宋体"/>
                <w:lang w:eastAsia="ko-KR"/>
              </w:rPr>
              <w:t>Time-critical</w:t>
            </w:r>
          </w:p>
        </w:tc>
        <w:tc>
          <w:tcPr>
            <w:tcW w:w="1170" w:type="dxa"/>
            <w:vAlign w:val="center"/>
          </w:tcPr>
          <w:p>
            <w:pPr>
              <w:spacing w:before="120" w:line="312" w:lineRule="auto"/>
              <w:jc w:val="both"/>
              <w:rPr>
                <w:rFonts w:eastAsia="宋体"/>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193" w:type="dxa"/>
            <w:vMerge w:val="continue"/>
            <w:vAlign w:val="center"/>
          </w:tcPr>
          <w:p>
            <w:pPr>
              <w:spacing w:before="120" w:line="312" w:lineRule="auto"/>
              <w:jc w:val="both"/>
              <w:rPr>
                <w:rFonts w:eastAsia="宋体"/>
                <w:lang w:eastAsia="ko-KR"/>
              </w:rPr>
            </w:pPr>
          </w:p>
        </w:tc>
        <w:tc>
          <w:tcPr>
            <w:tcW w:w="1170" w:type="dxa"/>
            <w:vAlign w:val="center"/>
          </w:tcPr>
          <w:p>
            <w:pPr>
              <w:spacing w:before="120" w:line="312" w:lineRule="auto"/>
              <w:jc w:val="both"/>
              <w:rPr>
                <w:rFonts w:eastAsia="宋体"/>
                <w:lang w:eastAsia="ko-KR"/>
              </w:rPr>
            </w:pPr>
            <w:r>
              <w:rPr>
                <w:rFonts w:eastAsia="宋体"/>
                <w:lang w:eastAsia="ko-KR"/>
              </w:rPr>
              <w:t>NW-side</w:t>
            </w:r>
          </w:p>
        </w:tc>
        <w:tc>
          <w:tcPr>
            <w:tcW w:w="1957" w:type="dxa"/>
            <w:vAlign w:val="center"/>
          </w:tcPr>
          <w:p>
            <w:pPr>
              <w:tabs>
                <w:tab w:val="left" w:pos="1440"/>
              </w:tabs>
              <w:spacing w:line="276" w:lineRule="auto"/>
              <w:contextualSpacing/>
              <w:jc w:val="both"/>
              <w:rPr>
                <w:rFonts w:eastAsia="Batang"/>
                <w:kern w:val="24"/>
                <w:lang w:eastAsia="ko-KR"/>
              </w:rPr>
            </w:pPr>
            <w:r>
              <w:rPr>
                <w:rFonts w:eastAsia="宋体"/>
                <w:lang w:eastAsia="ko-KR"/>
              </w:rPr>
              <w:t>L1-RSRP, Beam-ID for Set B</w:t>
            </w:r>
          </w:p>
        </w:tc>
        <w:tc>
          <w:tcPr>
            <w:tcW w:w="1193" w:type="dxa"/>
            <w:vAlign w:val="center"/>
          </w:tcPr>
          <w:p>
            <w:pPr>
              <w:spacing w:before="120" w:line="312" w:lineRule="auto"/>
              <w:jc w:val="both"/>
              <w:rPr>
                <w:rFonts w:eastAsia="宋体"/>
                <w:lang w:eastAsia="ko-KR"/>
              </w:rPr>
            </w:pPr>
            <w:r>
              <w:rPr>
                <w:rFonts w:eastAsia="宋体"/>
                <w:lang w:eastAsia="ko-KR"/>
              </w:rPr>
              <w:t>UE to NW</w:t>
            </w:r>
          </w:p>
        </w:tc>
        <w:tc>
          <w:tcPr>
            <w:tcW w:w="1507" w:type="dxa"/>
            <w:vAlign w:val="center"/>
          </w:tcPr>
          <w:p>
            <w:pPr>
              <w:spacing w:before="120" w:line="312" w:lineRule="auto"/>
              <w:jc w:val="both"/>
              <w:rPr>
                <w:rFonts w:eastAsia="宋体"/>
                <w:lang w:eastAsia="ko-KR"/>
              </w:rPr>
            </w:pPr>
            <w:r>
              <w:rPr>
                <w:rFonts w:eastAsia="宋体"/>
                <w:lang w:eastAsia="ko-KR"/>
              </w:rPr>
              <w:t>Up to ~100 bits</w:t>
            </w:r>
          </w:p>
          <w:p>
            <w:pPr>
              <w:spacing w:before="120" w:line="312" w:lineRule="auto"/>
              <w:jc w:val="both"/>
              <w:rPr>
                <w:rFonts w:eastAsia="宋体"/>
                <w:lang w:eastAsia="ko-KR"/>
              </w:rPr>
            </w:pPr>
            <w:r>
              <w:rPr>
                <w:rFonts w:eastAsia="宋体"/>
                <w:lang w:eastAsia="ko-KR"/>
              </w:rPr>
              <w:t>Smaller for beam IDs.</w:t>
            </w:r>
          </w:p>
        </w:tc>
        <w:tc>
          <w:tcPr>
            <w:tcW w:w="990" w:type="dxa"/>
            <w:vAlign w:val="center"/>
          </w:tcPr>
          <w:p>
            <w:pPr>
              <w:spacing w:before="120" w:line="312" w:lineRule="auto"/>
              <w:jc w:val="both"/>
              <w:rPr>
                <w:rFonts w:eastAsia="宋体"/>
                <w:lang w:eastAsia="ko-KR"/>
              </w:rPr>
            </w:pPr>
          </w:p>
          <w:p>
            <w:pPr>
              <w:spacing w:before="120" w:line="312" w:lineRule="auto"/>
              <w:jc w:val="both"/>
              <w:rPr>
                <w:rFonts w:eastAsia="宋体"/>
                <w:lang w:eastAsia="ko-KR"/>
              </w:rPr>
            </w:pPr>
            <w:r>
              <w:rPr>
                <w:rFonts w:eastAsia="宋体"/>
                <w:lang w:eastAsia="ko-KR"/>
              </w:rPr>
              <w:t>No agreement</w:t>
            </w:r>
          </w:p>
        </w:tc>
        <w:tc>
          <w:tcPr>
            <w:tcW w:w="900" w:type="dxa"/>
            <w:vAlign w:val="center"/>
          </w:tcPr>
          <w:p>
            <w:pPr>
              <w:spacing w:before="120" w:line="312" w:lineRule="auto"/>
              <w:jc w:val="both"/>
              <w:rPr>
                <w:rFonts w:eastAsia="宋体"/>
                <w:lang w:eastAsia="ko-KR"/>
              </w:rPr>
            </w:pPr>
            <w:r>
              <w:rPr>
                <w:rFonts w:eastAsia="宋体"/>
                <w:lang w:eastAsia="ko-KR"/>
              </w:rPr>
              <w:t>Time-critical</w:t>
            </w:r>
          </w:p>
        </w:tc>
        <w:tc>
          <w:tcPr>
            <w:tcW w:w="1170" w:type="dxa"/>
            <w:vAlign w:val="center"/>
          </w:tcPr>
          <w:p>
            <w:pPr>
              <w:spacing w:before="120" w:line="312" w:lineRule="auto"/>
              <w:jc w:val="both"/>
              <w:rPr>
                <w:rFonts w:eastAsia="宋体"/>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193" w:type="dxa"/>
            <w:vMerge w:val="restart"/>
            <w:vAlign w:val="center"/>
          </w:tcPr>
          <w:p>
            <w:pPr>
              <w:spacing w:before="120" w:line="312" w:lineRule="auto"/>
              <w:jc w:val="both"/>
              <w:rPr>
                <w:rFonts w:eastAsia="宋体"/>
                <w:lang w:eastAsia="ko-KR"/>
              </w:rPr>
            </w:pPr>
            <w:r>
              <w:rPr>
                <w:rFonts w:eastAsia="宋体"/>
                <w:lang w:eastAsia="ko-KR"/>
              </w:rPr>
              <w:t>NW-sided monitoring</w:t>
            </w:r>
          </w:p>
        </w:tc>
        <w:tc>
          <w:tcPr>
            <w:tcW w:w="1170" w:type="dxa"/>
            <w:vAlign w:val="center"/>
          </w:tcPr>
          <w:p>
            <w:pPr>
              <w:spacing w:before="120" w:line="312" w:lineRule="auto"/>
              <w:jc w:val="both"/>
              <w:rPr>
                <w:rFonts w:eastAsia="宋体"/>
                <w:lang w:eastAsia="ko-KR"/>
              </w:rPr>
            </w:pPr>
            <w:r>
              <w:rPr>
                <w:rFonts w:eastAsia="宋体"/>
                <w:lang w:eastAsia="ko-KR"/>
              </w:rPr>
              <w:t>UE-side</w:t>
            </w:r>
          </w:p>
        </w:tc>
        <w:tc>
          <w:tcPr>
            <w:tcW w:w="1957" w:type="dxa"/>
            <w:vAlign w:val="center"/>
          </w:tcPr>
          <w:p>
            <w:pPr>
              <w:tabs>
                <w:tab w:val="left" w:pos="1440"/>
              </w:tabs>
              <w:spacing w:line="276" w:lineRule="auto"/>
              <w:contextualSpacing/>
              <w:jc w:val="both"/>
              <w:rPr>
                <w:rFonts w:eastAsia="宋体"/>
                <w:lang w:eastAsia="ko-KR"/>
              </w:rPr>
            </w:pPr>
            <w:r>
              <w:rPr>
                <w:rFonts w:eastAsia="Calibri"/>
                <w:lang w:eastAsia="ko-KR"/>
              </w:rPr>
              <w:t>calculated performance metrics (if needed</w:t>
            </w:r>
            <w:r>
              <w:rPr>
                <w:rFonts w:eastAsia="宋体"/>
                <w:lang w:eastAsia="ko-KR"/>
              </w:rPr>
              <w:t xml:space="preserve">) </w:t>
            </w:r>
            <w:r>
              <w:rPr>
                <w:rFonts w:eastAsia="Calibri"/>
                <w:lang w:eastAsia="ko-KR"/>
              </w:rPr>
              <w:t>or L1-RSRPs (if needed</w:t>
            </w:r>
            <w:r>
              <w:rPr>
                <w:rFonts w:eastAsia="宋体"/>
                <w:lang w:eastAsia="ko-KR"/>
              </w:rPr>
              <w:t>)</w:t>
            </w:r>
          </w:p>
        </w:tc>
        <w:tc>
          <w:tcPr>
            <w:tcW w:w="1193" w:type="dxa"/>
            <w:vAlign w:val="center"/>
          </w:tcPr>
          <w:p>
            <w:pPr>
              <w:spacing w:before="120" w:line="312" w:lineRule="auto"/>
              <w:jc w:val="both"/>
              <w:rPr>
                <w:rFonts w:eastAsia="宋体"/>
                <w:lang w:eastAsia="ko-KR"/>
              </w:rPr>
            </w:pPr>
            <w:r>
              <w:rPr>
                <w:rFonts w:eastAsia="宋体"/>
                <w:lang w:eastAsia="ko-KR"/>
              </w:rPr>
              <w:t>UE to NW</w:t>
            </w:r>
          </w:p>
        </w:tc>
        <w:tc>
          <w:tcPr>
            <w:tcW w:w="1507" w:type="dxa"/>
            <w:vAlign w:val="center"/>
          </w:tcPr>
          <w:p>
            <w:pPr>
              <w:spacing w:before="120" w:line="312" w:lineRule="auto"/>
              <w:jc w:val="both"/>
              <w:rPr>
                <w:rFonts w:eastAsia="宋体"/>
                <w:lang w:eastAsia="ko-KR"/>
              </w:rPr>
            </w:pPr>
            <w:r>
              <w:rPr>
                <w:rFonts w:eastAsia="宋体"/>
                <w:lang w:eastAsia="ko-KR"/>
              </w:rPr>
              <w:t>Up to ~500 bits for RSRPs</w:t>
            </w:r>
          </w:p>
          <w:p>
            <w:pPr>
              <w:spacing w:before="120" w:line="312" w:lineRule="auto"/>
              <w:jc w:val="both"/>
              <w:rPr>
                <w:rFonts w:eastAsia="宋体"/>
                <w:lang w:eastAsia="ko-KR"/>
              </w:rPr>
            </w:pPr>
            <w:r>
              <w:rPr>
                <w:rFonts w:eastAsia="宋体"/>
                <w:lang w:eastAsia="ko-KR"/>
              </w:rPr>
              <w:t>Small (10s of bits) for performance metrics</w:t>
            </w:r>
          </w:p>
        </w:tc>
        <w:tc>
          <w:tcPr>
            <w:tcW w:w="990" w:type="dxa"/>
            <w:vAlign w:val="center"/>
          </w:tcPr>
          <w:p>
            <w:pPr>
              <w:spacing w:before="120" w:line="312" w:lineRule="auto"/>
              <w:jc w:val="both"/>
              <w:rPr>
                <w:rFonts w:eastAsia="宋体"/>
                <w:lang w:eastAsia="ko-KR"/>
              </w:rPr>
            </w:pPr>
            <w:r>
              <w:rPr>
                <w:rFonts w:eastAsia="宋体"/>
                <w:lang w:eastAsia="ko-KR"/>
              </w:rPr>
              <w:t>No agreement</w:t>
            </w:r>
          </w:p>
        </w:tc>
        <w:tc>
          <w:tcPr>
            <w:tcW w:w="900" w:type="dxa"/>
            <w:vAlign w:val="center"/>
          </w:tcPr>
          <w:p>
            <w:pPr>
              <w:spacing w:before="120" w:line="312" w:lineRule="auto"/>
              <w:jc w:val="both"/>
              <w:rPr>
                <w:rFonts w:eastAsia="宋体"/>
                <w:lang w:eastAsia="ko-KR"/>
              </w:rPr>
            </w:pPr>
            <w:r>
              <w:rPr>
                <w:rFonts w:eastAsia="宋体"/>
                <w:lang w:eastAsia="ko-KR"/>
              </w:rPr>
              <w:t>Near-real-time</w:t>
            </w:r>
          </w:p>
        </w:tc>
        <w:tc>
          <w:tcPr>
            <w:tcW w:w="1170" w:type="dxa"/>
            <w:vAlign w:val="center"/>
          </w:tcPr>
          <w:p>
            <w:pPr>
              <w:spacing w:before="120" w:line="312" w:lineRule="auto"/>
              <w:jc w:val="both"/>
              <w:rPr>
                <w:rFonts w:eastAsia="宋体"/>
                <w:lang w:eastAsia="ko-KR"/>
              </w:rPr>
            </w:pPr>
            <w:r>
              <w:rPr>
                <w:rFonts w:eastAsia="宋体"/>
                <w:lang w:eastAsia="ko-KR"/>
              </w:rPr>
              <w:t>This is called UE-side, NW-side, and hybrid monitoring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193" w:type="dxa"/>
            <w:vMerge w:val="continue"/>
            <w:vAlign w:val="center"/>
          </w:tcPr>
          <w:p>
            <w:pPr>
              <w:spacing w:before="120" w:line="312" w:lineRule="auto"/>
              <w:jc w:val="both"/>
              <w:rPr>
                <w:rFonts w:eastAsia="宋体"/>
                <w:b/>
                <w:bCs/>
                <w:lang w:eastAsia="ko-KR"/>
              </w:rPr>
            </w:pPr>
          </w:p>
        </w:tc>
        <w:tc>
          <w:tcPr>
            <w:tcW w:w="1170" w:type="dxa"/>
            <w:vAlign w:val="center"/>
          </w:tcPr>
          <w:p>
            <w:pPr>
              <w:spacing w:before="120" w:line="312" w:lineRule="auto"/>
              <w:jc w:val="both"/>
              <w:rPr>
                <w:rFonts w:eastAsia="宋体"/>
                <w:lang w:eastAsia="ko-KR"/>
              </w:rPr>
            </w:pPr>
            <w:r>
              <w:rPr>
                <w:rFonts w:eastAsia="宋体"/>
                <w:lang w:eastAsia="ko-KR"/>
              </w:rPr>
              <w:t xml:space="preserve">NW-side </w:t>
            </w:r>
          </w:p>
        </w:tc>
        <w:tc>
          <w:tcPr>
            <w:tcW w:w="1957" w:type="dxa"/>
            <w:vAlign w:val="center"/>
          </w:tcPr>
          <w:p>
            <w:pPr>
              <w:tabs>
                <w:tab w:val="left" w:pos="1440"/>
              </w:tabs>
              <w:spacing w:line="276" w:lineRule="auto"/>
              <w:contextualSpacing/>
              <w:jc w:val="both"/>
              <w:rPr>
                <w:rFonts w:eastAsia="Batang"/>
                <w:kern w:val="24"/>
                <w:lang w:eastAsia="ko-KR"/>
              </w:rPr>
            </w:pPr>
            <w:r>
              <w:rPr>
                <w:rFonts w:eastAsia="Batang"/>
                <w:kern w:val="24"/>
                <w:lang w:eastAsia="ko-KR"/>
              </w:rPr>
              <w:t>L1-RSRPs and/or beam-IDs for Set A</w:t>
            </w:r>
          </w:p>
          <w:p>
            <w:pPr>
              <w:tabs>
                <w:tab w:val="left" w:pos="1440"/>
              </w:tabs>
              <w:spacing w:line="276" w:lineRule="auto"/>
              <w:contextualSpacing/>
              <w:jc w:val="both"/>
              <w:rPr>
                <w:rFonts w:eastAsia="宋体"/>
                <w:lang w:eastAsia="ko-KR"/>
              </w:rPr>
            </w:pPr>
            <w:r>
              <w:rPr>
                <w:rFonts w:eastAsia="宋体"/>
                <w:lang w:eastAsia="ko-KR"/>
              </w:rPr>
              <w:t>(if needed)</w:t>
            </w:r>
          </w:p>
        </w:tc>
        <w:tc>
          <w:tcPr>
            <w:tcW w:w="1193" w:type="dxa"/>
            <w:vAlign w:val="center"/>
          </w:tcPr>
          <w:p>
            <w:pPr>
              <w:spacing w:before="120" w:line="312" w:lineRule="auto"/>
              <w:jc w:val="both"/>
              <w:rPr>
                <w:rFonts w:eastAsia="宋体"/>
                <w:lang w:eastAsia="ko-KR"/>
              </w:rPr>
            </w:pPr>
            <w:r>
              <w:rPr>
                <w:rFonts w:eastAsia="宋体"/>
                <w:lang w:eastAsia="ko-KR"/>
              </w:rPr>
              <w:t>UE to NW</w:t>
            </w:r>
          </w:p>
        </w:tc>
        <w:tc>
          <w:tcPr>
            <w:tcW w:w="1507" w:type="dxa"/>
            <w:vAlign w:val="center"/>
          </w:tcPr>
          <w:p>
            <w:pPr>
              <w:spacing w:before="120" w:line="312" w:lineRule="auto"/>
              <w:jc w:val="both"/>
              <w:rPr>
                <w:rFonts w:eastAsia="宋体"/>
                <w:lang w:eastAsia="ko-KR"/>
              </w:rPr>
            </w:pPr>
            <w:r>
              <w:rPr>
                <w:rFonts w:eastAsia="宋体"/>
                <w:lang w:eastAsia="ko-KR"/>
              </w:rPr>
              <w:t>Up to ~500 bits for RSRPs</w:t>
            </w:r>
          </w:p>
          <w:p>
            <w:pPr>
              <w:spacing w:before="120" w:line="312" w:lineRule="auto"/>
              <w:jc w:val="both"/>
              <w:rPr>
                <w:rFonts w:eastAsia="宋体"/>
                <w:lang w:eastAsia="ko-KR"/>
              </w:rPr>
            </w:pPr>
            <w:r>
              <w:rPr>
                <w:rFonts w:eastAsia="宋体"/>
                <w:lang w:eastAsia="ko-KR"/>
              </w:rPr>
              <w:t xml:space="preserve">Up to ~100 bits for beam IDs. </w:t>
            </w:r>
          </w:p>
        </w:tc>
        <w:tc>
          <w:tcPr>
            <w:tcW w:w="990" w:type="dxa"/>
            <w:vAlign w:val="center"/>
          </w:tcPr>
          <w:p>
            <w:pPr>
              <w:spacing w:before="120" w:line="312" w:lineRule="auto"/>
              <w:jc w:val="both"/>
              <w:rPr>
                <w:rFonts w:eastAsia="宋体"/>
                <w:lang w:eastAsia="ko-KR"/>
              </w:rPr>
            </w:pPr>
            <w:r>
              <w:rPr>
                <w:rFonts w:eastAsia="宋体"/>
                <w:lang w:eastAsia="ko-KR"/>
              </w:rPr>
              <w:t>No agreement</w:t>
            </w:r>
          </w:p>
        </w:tc>
        <w:tc>
          <w:tcPr>
            <w:tcW w:w="900" w:type="dxa"/>
            <w:vAlign w:val="center"/>
          </w:tcPr>
          <w:p>
            <w:pPr>
              <w:spacing w:before="120" w:line="312" w:lineRule="auto"/>
              <w:jc w:val="both"/>
              <w:rPr>
                <w:rFonts w:eastAsia="宋体"/>
                <w:lang w:eastAsia="ko-KR"/>
              </w:rPr>
            </w:pPr>
            <w:r>
              <w:rPr>
                <w:rFonts w:eastAsia="宋体"/>
                <w:lang w:eastAsia="ko-KR"/>
              </w:rPr>
              <w:t>Near-real-time</w:t>
            </w:r>
          </w:p>
        </w:tc>
        <w:tc>
          <w:tcPr>
            <w:tcW w:w="1170" w:type="dxa"/>
            <w:vAlign w:val="center"/>
          </w:tcPr>
          <w:p>
            <w:pPr>
              <w:spacing w:before="120" w:line="312" w:lineRule="auto"/>
              <w:jc w:val="both"/>
              <w:rPr>
                <w:rFonts w:eastAsia="宋体"/>
                <w:lang w:eastAsia="ko-KR"/>
              </w:rPr>
            </w:pPr>
          </w:p>
        </w:tc>
      </w:tr>
    </w:tbl>
    <w:p>
      <w:pPr>
        <w:keepNext w:val="0"/>
        <w:keepLines w:val="0"/>
        <w:pageBreakBefore w:val="0"/>
        <w:kinsoku/>
        <w:wordWrap/>
        <w:overflowPunct/>
        <w:topLinePunct w:val="0"/>
        <w:autoSpaceDE/>
        <w:autoSpaceDN/>
        <w:bidi w:val="0"/>
        <w:adjustRightInd/>
        <w:snapToGrid/>
        <w:spacing w:before="120" w:beforeLines="50" w:line="240" w:lineRule="auto"/>
        <w:textAlignment w:val="auto"/>
        <w:rPr>
          <w:rFonts w:eastAsiaTheme="minorEastAsia"/>
          <w:b/>
          <w:bCs/>
          <w:i/>
          <w:iCs/>
          <w:lang w:val="en-US" w:eastAsia="zh-CN"/>
        </w:rPr>
      </w:pPr>
      <w:r>
        <w:rPr>
          <w:b/>
          <w:bCs/>
          <w:i/>
          <w:iCs/>
          <w:kern w:val="2"/>
          <w:u w:val="single"/>
          <w:lang w:val="en-US" w:eastAsia="zh-CN"/>
        </w:rPr>
        <w:t xml:space="preserve">Proposal </w:t>
      </w:r>
      <w:r>
        <w:rPr>
          <w:b/>
          <w:bCs/>
          <w:i/>
          <w:iCs/>
          <w:u w:val="single"/>
          <w:lang w:val="en-US"/>
        </w:rPr>
        <w:t>4</w:t>
      </w:r>
      <w:r>
        <w:rPr>
          <w:b/>
          <w:bCs/>
          <w:i/>
          <w:iCs/>
          <w:kern w:val="2"/>
          <w:u w:val="single"/>
          <w:lang w:val="en-US" w:eastAsia="zh-CN"/>
        </w:rPr>
        <w:t xml:space="preserve">: </w:t>
      </w:r>
      <w:r>
        <w:rPr>
          <w:rFonts w:eastAsiaTheme="minorEastAsia"/>
          <w:b/>
          <w:bCs/>
          <w:i/>
          <w:iCs/>
        </w:rPr>
        <w:t>For the essential aspects of data collection of positioning use case:</w:t>
      </w:r>
    </w:p>
    <w:p>
      <w:pPr>
        <w:pStyle w:val="35"/>
        <w:keepNext w:val="0"/>
        <w:keepLines w:val="0"/>
        <w:pageBreakBefore w:val="0"/>
        <w:numPr>
          <w:ilvl w:val="0"/>
          <w:numId w:val="19"/>
        </w:numPr>
        <w:kinsoku/>
        <w:wordWrap/>
        <w:overflowPunct/>
        <w:topLinePunct w:val="0"/>
        <w:autoSpaceDE/>
        <w:autoSpaceDN/>
        <w:bidi w:val="0"/>
        <w:adjustRightInd/>
        <w:snapToGrid/>
        <w:spacing w:before="120" w:beforeLines="50" w:line="240" w:lineRule="auto"/>
        <w:ind w:firstLineChars="0"/>
        <w:textAlignment w:val="auto"/>
        <w:rPr>
          <w:rFonts w:ascii="Times New Roman" w:hAnsi="Times New Roman" w:eastAsiaTheme="minorEastAsia"/>
          <w:b/>
          <w:bCs/>
          <w:i/>
          <w:iCs/>
          <w:sz w:val="20"/>
          <w:szCs w:val="20"/>
        </w:rPr>
      </w:pPr>
      <w:r>
        <w:rPr>
          <w:rFonts w:ascii="Times New Roman" w:hAnsi="Times New Roman" w:eastAsiaTheme="minorEastAsia"/>
          <w:b/>
          <w:bCs/>
          <w:i/>
          <w:iCs/>
          <w:sz w:val="20"/>
          <w:szCs w:val="20"/>
        </w:rPr>
        <w:t>For the existing NR positioning measurements:</w:t>
      </w:r>
    </w:p>
    <w:p>
      <w:pPr>
        <w:pStyle w:val="35"/>
        <w:keepNext w:val="0"/>
        <w:keepLines w:val="0"/>
        <w:pageBreakBefore w:val="0"/>
        <w:numPr>
          <w:ilvl w:val="1"/>
          <w:numId w:val="19"/>
        </w:numPr>
        <w:kinsoku/>
        <w:wordWrap/>
        <w:overflowPunct/>
        <w:topLinePunct w:val="0"/>
        <w:autoSpaceDE/>
        <w:autoSpaceDN/>
        <w:bidi w:val="0"/>
        <w:adjustRightInd/>
        <w:snapToGrid/>
        <w:spacing w:before="120" w:beforeLines="50" w:line="240" w:lineRule="auto"/>
        <w:ind w:firstLineChars="0"/>
        <w:textAlignment w:val="auto"/>
        <w:rPr>
          <w:rFonts w:ascii="Times New Roman" w:hAnsi="Times New Roman" w:eastAsiaTheme="minorEastAsia"/>
          <w:b/>
          <w:bCs/>
          <w:i/>
          <w:iCs/>
          <w:sz w:val="20"/>
          <w:szCs w:val="20"/>
        </w:rPr>
      </w:pPr>
      <w:r>
        <w:rPr>
          <w:rFonts w:ascii="Times New Roman" w:hAnsi="Times New Roman" w:eastAsiaTheme="minorEastAsia"/>
          <w:b/>
          <w:bCs/>
          <w:i/>
          <w:iCs/>
          <w:sz w:val="20"/>
          <w:szCs w:val="20"/>
        </w:rPr>
        <w:t xml:space="preserve">RAN1 should study the </w:t>
      </w:r>
      <w:r>
        <w:rPr>
          <w:rFonts w:ascii="Times New Roman" w:hAnsi="Times New Roman" w:eastAsia="Batang"/>
          <w:b/>
          <w:bCs/>
          <w:i/>
          <w:iCs/>
          <w:color w:val="000000"/>
          <w:sz w:val="20"/>
          <w:szCs w:val="20"/>
        </w:rPr>
        <w:t>performance and the feasibility.</w:t>
      </w:r>
    </w:p>
    <w:p>
      <w:pPr>
        <w:pStyle w:val="35"/>
        <w:keepNext w:val="0"/>
        <w:keepLines w:val="0"/>
        <w:pageBreakBefore w:val="0"/>
        <w:numPr>
          <w:ilvl w:val="0"/>
          <w:numId w:val="19"/>
        </w:numPr>
        <w:kinsoku/>
        <w:wordWrap/>
        <w:overflowPunct/>
        <w:topLinePunct w:val="0"/>
        <w:autoSpaceDE/>
        <w:autoSpaceDN/>
        <w:bidi w:val="0"/>
        <w:adjustRightInd/>
        <w:snapToGrid/>
        <w:spacing w:before="120" w:beforeLines="50" w:line="240" w:lineRule="auto"/>
        <w:ind w:firstLineChars="0"/>
        <w:textAlignment w:val="auto"/>
        <w:rPr>
          <w:rFonts w:ascii="Times New Roman" w:hAnsi="Times New Roman" w:eastAsiaTheme="minorEastAsia"/>
          <w:b/>
          <w:bCs/>
          <w:i/>
          <w:iCs/>
          <w:sz w:val="20"/>
          <w:szCs w:val="20"/>
        </w:rPr>
      </w:pPr>
      <w:r>
        <w:rPr>
          <w:rFonts w:ascii="Times New Roman" w:hAnsi="Times New Roman" w:eastAsiaTheme="minorEastAsia"/>
          <w:b/>
          <w:bCs/>
          <w:i/>
          <w:iCs/>
          <w:sz w:val="20"/>
          <w:szCs w:val="20"/>
        </w:rPr>
        <w:t>For the new measurements for AI based positioning:</w:t>
      </w:r>
    </w:p>
    <w:p>
      <w:pPr>
        <w:pStyle w:val="35"/>
        <w:keepNext w:val="0"/>
        <w:keepLines w:val="0"/>
        <w:pageBreakBefore w:val="0"/>
        <w:numPr>
          <w:ilvl w:val="1"/>
          <w:numId w:val="19"/>
        </w:numPr>
        <w:kinsoku/>
        <w:wordWrap/>
        <w:overflowPunct/>
        <w:topLinePunct w:val="0"/>
        <w:autoSpaceDE/>
        <w:autoSpaceDN/>
        <w:bidi w:val="0"/>
        <w:adjustRightInd/>
        <w:snapToGrid/>
        <w:spacing w:before="120" w:beforeLines="50" w:line="240" w:lineRule="auto"/>
        <w:ind w:firstLineChars="0"/>
        <w:textAlignment w:val="auto"/>
        <w:rPr>
          <w:rFonts w:ascii="Times New Roman" w:hAnsi="Times New Roman" w:eastAsiaTheme="minorEastAsia"/>
          <w:b/>
          <w:bCs/>
          <w:i/>
          <w:iCs/>
          <w:sz w:val="20"/>
          <w:szCs w:val="20"/>
        </w:rPr>
      </w:pPr>
      <w:r>
        <w:rPr>
          <w:rFonts w:ascii="Times New Roman" w:hAnsi="Times New Roman" w:eastAsiaTheme="minorEastAsia"/>
          <w:b/>
          <w:bCs/>
          <w:i/>
          <w:iCs/>
          <w:sz w:val="20"/>
          <w:szCs w:val="20"/>
        </w:rPr>
        <w:t xml:space="preserve">RAN1 should study the </w:t>
      </w:r>
      <w:r>
        <w:rPr>
          <w:rFonts w:ascii="Times New Roman" w:hAnsi="Times New Roman" w:eastAsia="Batang"/>
          <w:b/>
          <w:bCs/>
          <w:i/>
          <w:iCs/>
          <w:color w:val="000000"/>
          <w:sz w:val="20"/>
          <w:szCs w:val="20"/>
        </w:rPr>
        <w:t>performance and the feasibility.</w:t>
      </w:r>
    </w:p>
    <w:p>
      <w:pPr>
        <w:pStyle w:val="35"/>
        <w:keepNext w:val="0"/>
        <w:keepLines w:val="0"/>
        <w:pageBreakBefore w:val="0"/>
        <w:widowControl w:val="0"/>
        <w:numPr>
          <w:numId w:val="0"/>
        </w:numPr>
        <w:kinsoku/>
        <w:wordWrap/>
        <w:overflowPunct/>
        <w:topLinePunct w:val="0"/>
        <w:autoSpaceDE/>
        <w:autoSpaceDN/>
        <w:bidi w:val="0"/>
        <w:adjustRightInd/>
        <w:snapToGrid/>
        <w:spacing w:line="240" w:lineRule="auto"/>
        <w:ind w:left="1162" w:leftChars="0"/>
        <w:textAlignment w:val="auto"/>
        <w:rPr>
          <w:rFonts w:ascii="Times New Roman" w:hAnsi="Times New Roman" w:eastAsiaTheme="minorEastAsia"/>
          <w:b/>
          <w:bCs/>
          <w:i/>
          <w:iCs/>
          <w:sz w:val="20"/>
          <w:szCs w:val="20"/>
        </w:rPr>
      </w:pPr>
    </w:p>
    <w:p>
      <w:pPr>
        <w:rPr>
          <w:b/>
          <w:i/>
          <w:lang w:eastAsia="zh-CN"/>
        </w:rPr>
      </w:pPr>
      <w:r>
        <w:rPr>
          <w:b/>
          <w:i/>
          <w:u w:val="single"/>
          <w:lang w:eastAsia="zh-CN"/>
        </w:rPr>
        <w:t xml:space="preserve">Proposal </w:t>
      </w:r>
      <w:r>
        <w:rPr>
          <w:b/>
          <w:i/>
          <w:u w:val="single"/>
          <w:lang w:val="en-US" w:eastAsia="zh-CN"/>
        </w:rPr>
        <w:t>5</w:t>
      </w:r>
      <w:r>
        <w:rPr>
          <w:b/>
          <w:i/>
          <w:lang w:eastAsia="zh-CN"/>
        </w:rPr>
        <w:t xml:space="preserve">: </w:t>
      </w:r>
      <w:r>
        <w:rPr>
          <w:b/>
          <w:i/>
        </w:rPr>
        <w:t>Regarding positioning enhancement,</w:t>
      </w:r>
      <w:r>
        <w:rPr>
          <w:rFonts w:hint="eastAsia"/>
          <w:b/>
          <w:i/>
          <w:lang w:eastAsia="zh-CN"/>
        </w:rPr>
        <w:t xml:space="preserve"> </w:t>
      </w:r>
      <w:r>
        <w:rPr>
          <w:b/>
          <w:i/>
          <w:lang w:eastAsia="zh-CN"/>
        </w:rPr>
        <w:t>p</w:t>
      </w:r>
      <w:r>
        <w:rPr>
          <w:rFonts w:hint="eastAsia"/>
          <w:b/>
          <w:i/>
          <w:lang w:eastAsia="zh-CN"/>
        </w:rPr>
        <w:t>ro</w:t>
      </w:r>
      <w:r>
        <w:rPr>
          <w:b/>
          <w:i/>
          <w:lang w:eastAsia="zh-CN"/>
        </w:rPr>
        <w:t xml:space="preserve">vide the following Table </w:t>
      </w:r>
      <w:r>
        <w:rPr>
          <w:b/>
          <w:i/>
          <w:lang w:val="en-US" w:eastAsia="zh-CN"/>
        </w:rPr>
        <w:t>4</w:t>
      </w:r>
      <w:r>
        <w:rPr>
          <w:b/>
          <w:i/>
          <w:lang w:eastAsia="zh-CN"/>
        </w:rPr>
        <w:t xml:space="preserve"> as the replies to Part B.</w:t>
      </w:r>
    </w:p>
    <w:p>
      <w:pPr>
        <w:rPr>
          <w:rFonts w:hint="eastAsia"/>
          <w:b/>
          <w:i/>
          <w:lang w:eastAsia="zh-CN"/>
        </w:rPr>
      </w:pPr>
    </w:p>
    <w:p>
      <w:pPr>
        <w:pStyle w:val="11"/>
      </w:pPr>
      <w:r>
        <w:rPr>
          <w:rFonts w:hint="eastAsia"/>
        </w:rPr>
        <w:t>T</w:t>
      </w:r>
      <w:r>
        <w:t xml:space="preserve">able </w:t>
      </w:r>
      <w:r>
        <w:rPr>
          <w:lang w:eastAsia="zh-CN"/>
        </w:rPr>
        <w:t>4</w:t>
      </w:r>
      <w:r>
        <w:t xml:space="preserve"> Data collection requirements for </w:t>
      </w:r>
      <w:r>
        <w:rPr>
          <w:lang w:eastAsia="zh-CN"/>
        </w:rPr>
        <w:t>positioning enhancement</w:t>
      </w:r>
    </w:p>
    <w:tbl>
      <w:tblPr>
        <w:tblStyle w:val="20"/>
        <w:tblW w:w="10170"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990"/>
        <w:gridCol w:w="1687"/>
        <w:gridCol w:w="1103"/>
        <w:gridCol w:w="2317"/>
        <w:gridCol w:w="1170"/>
        <w:gridCol w:w="923"/>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lang w:eastAsia="zh-CN"/>
              </w:rPr>
            </w:pPr>
            <w:r>
              <w:rPr>
                <w:b/>
                <w:bCs/>
              </w:rPr>
              <w:t>LCM purpose</w:t>
            </w:r>
          </w:p>
        </w:tc>
        <w:tc>
          <w:tcPr>
            <w:tcW w:w="99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rPr>
                <w:b/>
                <w:bCs/>
              </w:rPr>
            </w:pPr>
            <w:r>
              <w:rPr>
                <w:b/>
                <w:bCs/>
              </w:rPr>
              <w:t>Case</w:t>
            </w:r>
          </w:p>
        </w:tc>
        <w:tc>
          <w:tcPr>
            <w:tcW w:w="168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Data content</w:t>
            </w:r>
          </w:p>
        </w:tc>
        <w:tc>
          <w:tcPr>
            <w:tcW w:w="110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Data transfer direction</w:t>
            </w:r>
          </w:p>
        </w:tc>
        <w:tc>
          <w:tcPr>
            <w:tcW w:w="231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Typical data size (per data sample)</w:t>
            </w:r>
          </w:p>
        </w:tc>
        <w:tc>
          <w:tcPr>
            <w:tcW w:w="1170"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Reporting type</w:t>
            </w:r>
            <w:r>
              <w:rPr>
                <w:b/>
                <w:bCs/>
              </w:rPr>
              <w:br w:type="textWrapping"/>
            </w:r>
          </w:p>
        </w:tc>
        <w:tc>
          <w:tcPr>
            <w:tcW w:w="92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Typical latency requirement</w:t>
            </w:r>
          </w:p>
        </w:tc>
        <w:tc>
          <w:tcPr>
            <w:tcW w:w="114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
                <w:bCs/>
              </w:rPr>
            </w:pPr>
            <w:r>
              <w:rPr>
                <w:b/>
                <w:bCs/>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2" w:hRule="atLeast"/>
        </w:trPr>
        <w:tc>
          <w:tcPr>
            <w:tcW w:w="833"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bCs/>
              </w:rPr>
            </w:pPr>
            <w:r>
              <w:rPr>
                <w:rFonts w:eastAsia="宋体"/>
                <w:bCs/>
              </w:rPr>
              <w:t>model training</w:t>
            </w:r>
          </w:p>
        </w:tc>
        <w:tc>
          <w:tcPr>
            <w:tcW w:w="99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t>1, 2a, 2b, 3a,3b</w:t>
            </w:r>
          </w:p>
        </w:tc>
        <w:tc>
          <w:tcPr>
            <w:tcW w:w="1687" w:type="dxa"/>
            <w:tcBorders>
              <w:top w:val="single" w:color="auto" w:sz="4" w:space="0"/>
              <w:left w:val="single" w:color="auto" w:sz="4" w:space="0"/>
              <w:bottom w:val="single" w:color="auto" w:sz="4" w:space="0"/>
              <w:right w:val="single" w:color="auto" w:sz="4" w:space="0"/>
            </w:tcBorders>
          </w:tcPr>
          <w:p>
            <w:r>
              <w:t>Measurements (corresponding to model input): timing, power, and/or phase info</w:t>
            </w:r>
          </w:p>
          <w:p>
            <w:r>
              <w:t xml:space="preserve">(No agreement on measurement types yet in RAN1) </w:t>
            </w:r>
          </w:p>
          <w:p>
            <w:pPr>
              <w:snapToGrid w:val="0"/>
              <w:spacing w:before="100" w:beforeAutospacing="1" w:after="120"/>
            </w:pPr>
          </w:p>
        </w:tc>
        <w:tc>
          <w:tcPr>
            <w:tcW w:w="1103" w:type="dxa"/>
            <w:tcBorders>
              <w:top w:val="single" w:color="auto" w:sz="4" w:space="0"/>
              <w:left w:val="single" w:color="auto" w:sz="4" w:space="0"/>
              <w:bottom w:val="single" w:color="auto" w:sz="4" w:space="0"/>
              <w:right w:val="single" w:color="auto" w:sz="4" w:space="0"/>
            </w:tcBorders>
          </w:tcPr>
          <w:p>
            <w:r>
              <w:t>1,2a: From UE/PRU</w:t>
            </w:r>
          </w:p>
          <w:p>
            <w:r>
              <w:t>3a: From gNB</w:t>
            </w:r>
          </w:p>
          <w:p/>
          <w:p>
            <w:pPr>
              <w:snapToGrid w:val="0"/>
              <w:spacing w:before="100" w:beforeAutospacing="1" w:after="120"/>
            </w:pPr>
          </w:p>
        </w:tc>
        <w:tc>
          <w:tcPr>
            <w:tcW w:w="2317" w:type="dxa"/>
            <w:tcBorders>
              <w:top w:val="single" w:color="auto" w:sz="4" w:space="0"/>
              <w:left w:val="single" w:color="auto" w:sz="4" w:space="0"/>
              <w:bottom w:val="single" w:color="auto" w:sz="4" w:space="0"/>
              <w:right w:val="single" w:color="auto" w:sz="4" w:space="0"/>
            </w:tcBorders>
          </w:tcPr>
          <w:p>
            <w:r>
              <w:t>Size depends on measurement type (timing and/or power and/or phase info) and report format:</w:t>
            </w:r>
          </w:p>
          <w:p>
            <w:r>
              <w:t>88-6665 bits per PRS/SRS resource</w:t>
            </w:r>
          </w:p>
          <w:p>
            <w:r>
              <w:t>Note: the lower bound (88) is assuming first path and 8 additional path timing only; while the upper bound (6665) is assuming 256 measurement samples.</w:t>
            </w:r>
          </w:p>
          <w:p/>
        </w:tc>
        <w:tc>
          <w:tcPr>
            <w:tcW w:w="1170" w:type="dxa"/>
            <w:tcBorders>
              <w:top w:val="single" w:color="auto" w:sz="4" w:space="0"/>
              <w:left w:val="single" w:color="auto" w:sz="4" w:space="0"/>
              <w:bottom w:val="single" w:color="auto" w:sz="4" w:space="0"/>
              <w:right w:val="single" w:color="auto" w:sz="4" w:space="0"/>
            </w:tcBorders>
          </w:tcPr>
          <w:p/>
          <w:p>
            <w:pPr>
              <w:snapToGrid w:val="0"/>
              <w:spacing w:before="100" w:beforeAutospacing="1" w:after="120"/>
            </w:pPr>
            <w:r>
              <w:t>No agreement</w:t>
            </w:r>
          </w:p>
        </w:tc>
        <w:tc>
          <w:tcPr>
            <w:tcW w:w="923"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rPr>
                <w:rFonts w:eastAsia="宋体"/>
              </w:rPr>
              <w:t>Relaxed</w:t>
            </w:r>
          </w:p>
        </w:tc>
        <w:tc>
          <w:tcPr>
            <w:tcW w:w="114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vMerge w:val="continue"/>
            <w:tcBorders>
              <w:top w:val="single" w:color="auto" w:sz="4" w:space="0"/>
              <w:left w:val="single" w:color="auto" w:sz="4" w:space="0"/>
              <w:bottom w:val="single" w:color="auto" w:sz="4" w:space="0"/>
              <w:right w:val="single" w:color="auto" w:sz="4" w:space="0"/>
            </w:tcBorders>
            <w:vAlign w:val="center"/>
          </w:tcPr>
          <w:p>
            <w:pPr>
              <w:rPr>
                <w:rFonts w:eastAsiaTheme="minorEastAsia"/>
                <w:bCs/>
                <w:kern w:val="2"/>
                <w14:ligatures w14:val="standardContextual"/>
              </w:rPr>
            </w:pPr>
          </w:p>
        </w:tc>
        <w:tc>
          <w:tcPr>
            <w:tcW w:w="99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p>
          <w:p>
            <w:pPr>
              <w:snapToGrid w:val="0"/>
              <w:spacing w:before="100" w:beforeAutospacing="1" w:after="120"/>
            </w:pPr>
            <w:r>
              <w:t>Direct AI/ML positioning</w:t>
            </w:r>
          </w:p>
        </w:tc>
        <w:tc>
          <w:tcPr>
            <w:tcW w:w="1687" w:type="dxa"/>
            <w:tcBorders>
              <w:top w:val="single" w:color="auto" w:sz="4" w:space="0"/>
              <w:left w:val="single" w:color="auto" w:sz="4" w:space="0"/>
              <w:bottom w:val="single" w:color="auto" w:sz="4" w:space="0"/>
              <w:right w:val="single" w:color="auto" w:sz="4" w:space="0"/>
            </w:tcBorders>
          </w:tcPr>
          <w:p>
            <w:r>
              <w:t>Label: Location information</w:t>
            </w:r>
          </w:p>
        </w:tc>
        <w:tc>
          <w:tcPr>
            <w:tcW w:w="1103" w:type="dxa"/>
            <w:tcBorders>
              <w:top w:val="single" w:color="auto" w:sz="4" w:space="0"/>
              <w:left w:val="single" w:color="auto" w:sz="4" w:space="0"/>
              <w:bottom w:val="single" w:color="auto" w:sz="4" w:space="0"/>
              <w:right w:val="single" w:color="auto" w:sz="4" w:space="0"/>
            </w:tcBorders>
          </w:tcPr>
          <w:p>
            <w:r>
              <w:t>1:</w:t>
            </w:r>
          </w:p>
          <w:p>
            <w:pPr>
              <w:rPr>
                <w:rFonts w:eastAsia="宋体"/>
              </w:rPr>
            </w:pPr>
            <w:r>
              <w:t>From UE/PRU</w:t>
            </w:r>
          </w:p>
          <w:p>
            <w:pPr>
              <w:rPr>
                <w:rFonts w:eastAsia="宋体"/>
              </w:rPr>
            </w:pPr>
            <w:r>
              <w:t>2b, 3b: From LMF and/or network entity</w:t>
            </w:r>
          </w:p>
          <w:p>
            <w:pPr>
              <w:rPr>
                <w:rFonts w:eastAsiaTheme="minorEastAsia"/>
              </w:rPr>
            </w:pPr>
            <w:r>
              <w:rPr>
                <w:rFonts w:eastAsia="宋体"/>
              </w:rPr>
              <w:t>Other entities are under discussion.</w:t>
            </w:r>
          </w:p>
        </w:tc>
        <w:tc>
          <w:tcPr>
            <w:tcW w:w="2317" w:type="dxa"/>
            <w:tcBorders>
              <w:top w:val="single" w:color="auto" w:sz="4" w:space="0"/>
              <w:left w:val="single" w:color="auto" w:sz="4" w:space="0"/>
              <w:bottom w:val="single" w:color="auto" w:sz="4" w:space="0"/>
              <w:right w:val="single" w:color="auto" w:sz="4" w:space="0"/>
            </w:tcBorders>
          </w:tcPr>
          <w:p>
            <w:r>
              <w:t xml:space="preserve">104 to 144 bits </w:t>
            </w:r>
          </w:p>
          <w:p>
            <w:pPr>
              <w:rPr>
                <w:u w:val="single"/>
              </w:rPr>
            </w:pPr>
          </w:p>
        </w:tc>
        <w:tc>
          <w:tcPr>
            <w:tcW w:w="1170" w:type="dxa"/>
            <w:tcBorders>
              <w:top w:val="single" w:color="auto" w:sz="4" w:space="0"/>
              <w:left w:val="single" w:color="auto" w:sz="4" w:space="0"/>
              <w:bottom w:val="single" w:color="auto" w:sz="4" w:space="0"/>
              <w:right w:val="single" w:color="auto" w:sz="4" w:space="0"/>
            </w:tcBorders>
          </w:tcPr>
          <w:p>
            <w:r>
              <w:t>No agreement</w:t>
            </w:r>
          </w:p>
        </w:tc>
        <w:tc>
          <w:tcPr>
            <w:tcW w:w="923"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rPr>
                <w:rFonts w:eastAsia="宋体"/>
              </w:rPr>
            </w:pPr>
            <w:r>
              <w:rPr>
                <w:rFonts w:eastAsia="宋体"/>
              </w:rPr>
              <w:t>Relaxed</w:t>
            </w:r>
          </w:p>
        </w:tc>
        <w:tc>
          <w:tcPr>
            <w:tcW w:w="114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vMerge w:val="continue"/>
            <w:tcBorders>
              <w:top w:val="single" w:color="auto" w:sz="4" w:space="0"/>
              <w:left w:val="single" w:color="auto" w:sz="4" w:space="0"/>
              <w:bottom w:val="single" w:color="auto" w:sz="4" w:space="0"/>
              <w:right w:val="single" w:color="auto" w:sz="4" w:space="0"/>
            </w:tcBorders>
            <w:vAlign w:val="center"/>
          </w:tcPr>
          <w:p>
            <w:pPr>
              <w:rPr>
                <w:rFonts w:eastAsiaTheme="minorEastAsia"/>
                <w:bCs/>
                <w:kern w:val="2"/>
                <w14:ligatures w14:val="standardContextual"/>
              </w:rPr>
            </w:pPr>
          </w:p>
        </w:tc>
        <w:tc>
          <w:tcPr>
            <w:tcW w:w="99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p>
          <w:p>
            <w:pPr>
              <w:snapToGrid w:val="0"/>
              <w:spacing w:before="100" w:beforeAutospacing="1" w:after="120"/>
            </w:pPr>
            <w:r>
              <w:t>AI/ML assisted positioning</w:t>
            </w:r>
          </w:p>
        </w:tc>
        <w:tc>
          <w:tcPr>
            <w:tcW w:w="168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Label: Intermediate positioning measurement (timing, [RSRP/RSRPP], LOS/NLOS indicator)</w:t>
            </w:r>
          </w:p>
        </w:tc>
        <w:tc>
          <w:tcPr>
            <w:tcW w:w="110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2a: From UE/PRU/LMF</w:t>
            </w:r>
          </w:p>
          <w:p>
            <w:pPr>
              <w:snapToGrid w:val="0"/>
              <w:spacing w:before="100" w:beforeAutospacing="1" w:after="120"/>
              <w:rPr>
                <w:rFonts w:eastAsia="宋体"/>
              </w:rPr>
            </w:pPr>
            <w:r>
              <w:t>3a: From LMF and/or network entity</w:t>
            </w:r>
          </w:p>
          <w:p>
            <w:pPr>
              <w:snapToGrid w:val="0"/>
              <w:spacing w:before="100" w:beforeAutospacing="1" w:after="120"/>
              <w:rPr>
                <w:rFonts w:eastAsiaTheme="minorEastAsia"/>
              </w:rPr>
            </w:pPr>
            <w:r>
              <w:rPr>
                <w:rFonts w:eastAsia="宋体"/>
              </w:rPr>
              <w:t>Other entities are under discussion.</w:t>
            </w:r>
          </w:p>
        </w:tc>
        <w:tc>
          <w:tcPr>
            <w:tcW w:w="2317" w:type="dxa"/>
            <w:tcBorders>
              <w:top w:val="single" w:color="auto" w:sz="4" w:space="0"/>
              <w:left w:val="single" w:color="auto" w:sz="4" w:space="0"/>
              <w:bottom w:val="single" w:color="auto" w:sz="4" w:space="0"/>
              <w:right w:val="single" w:color="auto" w:sz="4" w:space="0"/>
            </w:tcBorders>
            <w:vAlign w:val="center"/>
          </w:tcPr>
          <w:p>
            <w:r>
              <w:t>28 bits per PRS/SRS resource</w:t>
            </w:r>
          </w:p>
          <w:p/>
        </w:tc>
        <w:tc>
          <w:tcPr>
            <w:tcW w:w="117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t>No agreement</w:t>
            </w:r>
          </w:p>
        </w:tc>
        <w:tc>
          <w:tcPr>
            <w:tcW w:w="923"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rPr>
                <w:rFonts w:eastAsia="宋体"/>
              </w:rPr>
              <w:t>Relaxed</w:t>
            </w:r>
          </w:p>
        </w:tc>
        <w:tc>
          <w:tcPr>
            <w:tcW w:w="114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trPr>
        <w:tc>
          <w:tcPr>
            <w:tcW w:w="833"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rFonts w:eastAsia="宋体"/>
                <w:bCs/>
              </w:rPr>
            </w:pPr>
            <w:r>
              <w:rPr>
                <w:rFonts w:eastAsia="宋体"/>
                <w:bCs/>
              </w:rPr>
              <w:t>Inference</w:t>
            </w:r>
          </w:p>
        </w:tc>
        <w:tc>
          <w:tcPr>
            <w:tcW w:w="99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rPr>
                <w:rFonts w:eastAsiaTheme="minorEastAsia"/>
              </w:rPr>
            </w:pPr>
            <w:r>
              <w:t>2a, 3a</w:t>
            </w:r>
          </w:p>
        </w:tc>
        <w:tc>
          <w:tcPr>
            <w:tcW w:w="1687" w:type="dxa"/>
            <w:tcBorders>
              <w:top w:val="single" w:color="auto" w:sz="4" w:space="0"/>
              <w:left w:val="single" w:color="auto" w:sz="4" w:space="0"/>
              <w:bottom w:val="single" w:color="auto" w:sz="4" w:space="0"/>
              <w:right w:val="single" w:color="auto" w:sz="4" w:space="0"/>
            </w:tcBorders>
          </w:tcPr>
          <w:p>
            <w:r>
              <w:t>Intermediate positioning measurement of PRS (timing, [RSRP/RSRPP], LOS/NLOS indicator) as model output</w:t>
            </w:r>
          </w:p>
        </w:tc>
        <w:tc>
          <w:tcPr>
            <w:tcW w:w="1103" w:type="dxa"/>
            <w:tcBorders>
              <w:top w:val="single" w:color="auto" w:sz="4" w:space="0"/>
              <w:left w:val="single" w:color="auto" w:sz="4" w:space="0"/>
              <w:bottom w:val="single" w:color="auto" w:sz="4" w:space="0"/>
              <w:right w:val="single" w:color="auto" w:sz="4" w:space="0"/>
            </w:tcBorders>
          </w:tcPr>
          <w:p>
            <w:r>
              <w:t>2a: UE to LMF</w:t>
            </w:r>
          </w:p>
          <w:p>
            <w:r>
              <w:t>3a: gNB to LMF</w:t>
            </w:r>
          </w:p>
        </w:tc>
        <w:tc>
          <w:tcPr>
            <w:tcW w:w="2317" w:type="dxa"/>
            <w:tcBorders>
              <w:top w:val="single" w:color="auto" w:sz="4" w:space="0"/>
              <w:left w:val="single" w:color="auto" w:sz="4" w:space="0"/>
              <w:bottom w:val="single" w:color="auto" w:sz="4" w:space="0"/>
              <w:right w:val="single" w:color="auto" w:sz="4" w:space="0"/>
            </w:tcBorders>
          </w:tcPr>
          <w:p/>
          <w:p>
            <w:r>
              <w:t>28 bits per PRS/SRS resource</w:t>
            </w:r>
          </w:p>
          <w:p/>
          <w:p/>
        </w:tc>
        <w:tc>
          <w:tcPr>
            <w:tcW w:w="117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t>Same as case 1</w:t>
            </w:r>
          </w:p>
        </w:tc>
        <w:tc>
          <w:tcPr>
            <w:tcW w:w="923"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rPr>
                <w:rFonts w:eastAsia="宋体"/>
              </w:rPr>
            </w:pPr>
            <w:r>
              <w:t>Same as case 1</w:t>
            </w:r>
          </w:p>
        </w:tc>
        <w:tc>
          <w:tcPr>
            <w:tcW w:w="114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vMerge w:val="continue"/>
            <w:tcBorders>
              <w:top w:val="single" w:color="auto" w:sz="4" w:space="0"/>
              <w:left w:val="single" w:color="auto" w:sz="4" w:space="0"/>
              <w:bottom w:val="single" w:color="auto" w:sz="4" w:space="0"/>
              <w:right w:val="single" w:color="auto" w:sz="4" w:space="0"/>
            </w:tcBorders>
            <w:vAlign w:val="center"/>
          </w:tcPr>
          <w:p>
            <w:pPr>
              <w:rPr>
                <w:rFonts w:eastAsia="宋体"/>
                <w:bCs/>
                <w:kern w:val="2"/>
                <w14:ligatures w14:val="standardContextual"/>
              </w:rPr>
            </w:pPr>
          </w:p>
        </w:tc>
        <w:tc>
          <w:tcPr>
            <w:tcW w:w="99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t>2b, 3b</w:t>
            </w:r>
          </w:p>
        </w:tc>
        <w:tc>
          <w:tcPr>
            <w:tcW w:w="1687" w:type="dxa"/>
            <w:tcBorders>
              <w:top w:val="single" w:color="auto" w:sz="4" w:space="0"/>
              <w:left w:val="single" w:color="auto" w:sz="4" w:space="0"/>
              <w:bottom w:val="single" w:color="auto" w:sz="4" w:space="0"/>
              <w:right w:val="single" w:color="auto" w:sz="4" w:space="0"/>
            </w:tcBorders>
          </w:tcPr>
          <w:p>
            <w:r>
              <w:t>Measurements:</w:t>
            </w:r>
          </w:p>
          <w:p>
            <w:r>
              <w:t xml:space="preserve">Timing, power, and/or phase info </w:t>
            </w:r>
          </w:p>
          <w:p>
            <w:r>
              <w:t>(No agreement on exact measurement types yet in RAN1)</w:t>
            </w:r>
          </w:p>
        </w:tc>
        <w:tc>
          <w:tcPr>
            <w:tcW w:w="1103" w:type="dxa"/>
            <w:tcBorders>
              <w:top w:val="single" w:color="auto" w:sz="4" w:space="0"/>
              <w:left w:val="single" w:color="auto" w:sz="4" w:space="0"/>
              <w:bottom w:val="single" w:color="auto" w:sz="4" w:space="0"/>
              <w:right w:val="single" w:color="auto" w:sz="4" w:space="0"/>
            </w:tcBorders>
          </w:tcPr>
          <w:p>
            <w:r>
              <w:t>2b: UE to LMF</w:t>
            </w:r>
          </w:p>
          <w:p>
            <w:r>
              <w:t>3b: gNB to LMF</w:t>
            </w:r>
          </w:p>
        </w:tc>
        <w:tc>
          <w:tcPr>
            <w:tcW w:w="2317" w:type="dxa"/>
            <w:tcBorders>
              <w:top w:val="single" w:color="auto" w:sz="4" w:space="0"/>
              <w:left w:val="single" w:color="auto" w:sz="4" w:space="0"/>
              <w:bottom w:val="single" w:color="auto" w:sz="4" w:space="0"/>
              <w:right w:val="single" w:color="auto" w:sz="4" w:space="0"/>
            </w:tcBorders>
          </w:tcPr>
          <w:p>
            <w:r>
              <w:t>Size depends on measurement type (timing and/or power and/or phase info) and report format:</w:t>
            </w:r>
          </w:p>
          <w:p>
            <w:r>
              <w:t>88-6665 bits per PRS/SRS resource</w:t>
            </w:r>
          </w:p>
          <w:p>
            <w:r>
              <w:t>Note: the lower bound (88) is assuming first path and 8 additional path timing only; while the upper bound (6665) is assuming 256 measurement samples.</w:t>
            </w:r>
          </w:p>
          <w:p>
            <w:r>
              <w:t>[See Note1 below for assumptions]</w:t>
            </w:r>
          </w:p>
          <w:p/>
        </w:tc>
        <w:tc>
          <w:tcPr>
            <w:tcW w:w="117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t>Same as case 1</w:t>
            </w:r>
          </w:p>
        </w:tc>
        <w:tc>
          <w:tcPr>
            <w:tcW w:w="923"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rPr>
                <w:rFonts w:eastAsia="宋体"/>
              </w:rPr>
            </w:pPr>
            <w:r>
              <w:t>Same as case 1</w:t>
            </w:r>
          </w:p>
        </w:tc>
        <w:tc>
          <w:tcPr>
            <w:tcW w:w="114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trPr>
        <w:tc>
          <w:tcPr>
            <w:tcW w:w="83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rPr>
                <w:rFonts w:eastAsia="宋体"/>
                <w:bCs/>
              </w:rPr>
            </w:pPr>
            <w:r>
              <w:rPr>
                <w:rFonts w:eastAsia="宋体"/>
                <w:bCs/>
              </w:rPr>
              <w:t>NW-sided monitoring</w:t>
            </w:r>
          </w:p>
        </w:tc>
        <w:tc>
          <w:tcPr>
            <w:tcW w:w="99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rPr>
                <w:rFonts w:eastAsiaTheme="minorEastAsia"/>
              </w:rPr>
            </w:pPr>
            <w:r>
              <w:t>2a, 3a</w:t>
            </w:r>
          </w:p>
        </w:tc>
        <w:tc>
          <w:tcPr>
            <w:tcW w:w="1687" w:type="dxa"/>
            <w:tcBorders>
              <w:top w:val="single" w:color="auto" w:sz="4" w:space="0"/>
              <w:left w:val="single" w:color="auto" w:sz="4" w:space="0"/>
              <w:bottom w:val="single" w:color="auto" w:sz="4" w:space="0"/>
              <w:right w:val="single" w:color="auto" w:sz="4" w:space="0"/>
            </w:tcBorders>
          </w:tcPr>
          <w:p>
            <w:r>
              <w:t xml:space="preserve">statistics of the difference between model output and provided ground truth label </w:t>
            </w:r>
          </w:p>
          <w:p>
            <w:r>
              <w:t>(if needed)</w:t>
            </w:r>
          </w:p>
          <w:p/>
          <w:p>
            <w:r>
              <w:t>Statistics of model output compared to the statistics associated with the training data and/or its own previous inference output</w:t>
            </w:r>
          </w:p>
          <w:p>
            <w:r>
              <w:t>(if needed)</w:t>
            </w:r>
          </w:p>
        </w:tc>
        <w:tc>
          <w:tcPr>
            <w:tcW w:w="1103" w:type="dxa"/>
            <w:tcBorders>
              <w:top w:val="single" w:color="auto" w:sz="4" w:space="0"/>
              <w:left w:val="single" w:color="auto" w:sz="4" w:space="0"/>
              <w:bottom w:val="single" w:color="auto" w:sz="4" w:space="0"/>
              <w:right w:val="single" w:color="auto" w:sz="4" w:space="0"/>
            </w:tcBorders>
          </w:tcPr>
          <w:p>
            <w:r>
              <w:t>2a: LMF to UE</w:t>
            </w:r>
          </w:p>
          <w:p>
            <w:r>
              <w:t>3a: LMF to gNB</w:t>
            </w:r>
          </w:p>
        </w:tc>
        <w:tc>
          <w:tcPr>
            <w:tcW w:w="2317" w:type="dxa"/>
            <w:tcBorders>
              <w:top w:val="single" w:color="auto" w:sz="4" w:space="0"/>
              <w:left w:val="single" w:color="auto" w:sz="4" w:space="0"/>
              <w:bottom w:val="single" w:color="auto" w:sz="4" w:space="0"/>
              <w:right w:val="single" w:color="auto" w:sz="4" w:space="0"/>
            </w:tcBorders>
          </w:tcPr>
          <w:p>
            <w:r>
              <w:t>10s of bits (RAN1 still works on deciding metrics)</w:t>
            </w:r>
          </w:p>
        </w:tc>
        <w:tc>
          <w:tcPr>
            <w:tcW w:w="1170"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t>No agreement</w:t>
            </w:r>
          </w:p>
        </w:tc>
        <w:tc>
          <w:tcPr>
            <w:tcW w:w="923" w:type="dxa"/>
            <w:tcBorders>
              <w:top w:val="single" w:color="auto" w:sz="4" w:space="0"/>
              <w:left w:val="single" w:color="auto" w:sz="4" w:space="0"/>
              <w:bottom w:val="single" w:color="auto" w:sz="4" w:space="0"/>
              <w:right w:val="single" w:color="auto" w:sz="4" w:space="0"/>
            </w:tcBorders>
          </w:tcPr>
          <w:p>
            <w:pPr>
              <w:snapToGrid w:val="0"/>
              <w:spacing w:before="100" w:beforeAutospacing="1" w:after="120"/>
            </w:pPr>
            <w:r>
              <w:t>Near-real-time</w:t>
            </w:r>
          </w:p>
        </w:tc>
        <w:tc>
          <w:tcPr>
            <w:tcW w:w="1147"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20"/>
            </w:pPr>
            <w:r>
              <w:t>Feasibility and necessity are under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trPr>
        <w:tc>
          <w:tcPr>
            <w:tcW w:w="10170" w:type="dxa"/>
            <w:gridSpan w:val="8"/>
            <w:tcBorders>
              <w:top w:val="single" w:color="auto" w:sz="4" w:space="0"/>
              <w:left w:val="single" w:color="auto" w:sz="4" w:space="0"/>
              <w:bottom w:val="single" w:color="auto" w:sz="4" w:space="0"/>
              <w:right w:val="single" w:color="auto" w:sz="4" w:space="0"/>
            </w:tcBorders>
            <w:vAlign w:val="center"/>
          </w:tcPr>
          <w:p>
            <w:r>
              <w:t>Note1: The quantization and bit representation of time, power, and phase information (including their necessity) still need to be discussed an appropriate working group.  As a reference to existing timing and power representation in Rel17 [TS 37.355], the upper bounds were computed with timing info as 21 bits for first arrival and 14 bits for relative timing; power/real info as 7 bits for first value and 6 bits for relative powers/real values. While the lower bounds were computed with timing info as 16 bits for first arrival and 9 bits for relative timing; power/real info as 7 bits for first value and 6 bits for relative powers/real values.</w:t>
            </w:r>
          </w:p>
          <w:p>
            <w:pPr>
              <w:pStyle w:val="70"/>
              <w:rPr>
                <w:sz w:val="20"/>
                <w:szCs w:val="20"/>
                <w:u w:val="single"/>
                <w:lang w:val="en-GB" w:eastAsia="zh-CN"/>
              </w:rPr>
            </w:pPr>
            <w:r>
              <w:rPr>
                <w:sz w:val="20"/>
                <w:szCs w:val="20"/>
                <w:u w:val="single"/>
                <w:lang w:val="en-GB" w:eastAsia="zh-CN"/>
              </w:rPr>
              <w:t>Calculation of the lower bound:</w:t>
            </w:r>
          </w:p>
          <w:p>
            <w:pPr>
              <w:pStyle w:val="70"/>
              <w:rPr>
                <w:sz w:val="20"/>
                <w:szCs w:val="20"/>
                <w:lang w:val="en-GB" w:eastAsia="zh-CN"/>
              </w:rPr>
            </w:pPr>
            <w:r>
              <w:rPr>
                <w:sz w:val="20"/>
                <w:szCs w:val="20"/>
                <w:lang w:val="en-GB" w:eastAsia="zh-CN"/>
              </w:rPr>
              <w:t>The lower bound has been calculated as follows (assuming timing only for 9 measurements) per PRS/SRS resource: 16 + 9*8 = 88 bits</w:t>
            </w:r>
          </w:p>
          <w:p>
            <w:pPr>
              <w:pStyle w:val="70"/>
              <w:rPr>
                <w:sz w:val="20"/>
                <w:szCs w:val="20"/>
                <w:u w:val="single"/>
                <w:lang w:val="en-GB" w:eastAsia="zh-CN"/>
              </w:rPr>
            </w:pPr>
            <w:r>
              <w:rPr>
                <w:sz w:val="20"/>
                <w:szCs w:val="20"/>
                <w:u w:val="single"/>
                <w:lang w:val="en-GB" w:eastAsia="zh-CN"/>
              </w:rPr>
              <w:t>Calculation of the upper bound:</w:t>
            </w:r>
          </w:p>
          <w:p>
            <w:pPr>
              <w:pStyle w:val="70"/>
              <w:rPr>
                <w:sz w:val="20"/>
                <w:szCs w:val="20"/>
                <w:u w:val="single"/>
                <w:lang w:val="en-GB" w:eastAsia="zh-CN"/>
              </w:rPr>
            </w:pPr>
            <w:r>
              <w:rPr>
                <w:sz w:val="20"/>
                <w:szCs w:val="20"/>
                <w:lang w:val="en-GB" w:eastAsia="zh-CN"/>
              </w:rPr>
              <w:t>The upper bound has been calculated as follows (assuming timing, power, and phase for 256 measurements) per PRS/SRS resource: (21 + 14*255) + 2*(7 + 6*255) = 6665 bits</w:t>
            </w:r>
          </w:p>
          <w:p>
            <w:pPr>
              <w:rPr>
                <w:lang w:val="en-US" w:eastAsia="zh-CN"/>
              </w:rPr>
            </w:pPr>
            <w:r>
              <w:t xml:space="preserve">As a reference, multipath measurement reporting in the existing specification TS 37.355 is shown below for UE reporting to LMF. Similar measurement reporting exists in TS 38.455 for gNB reporting to LMF </w:t>
            </w:r>
          </w:p>
          <w:p>
            <w:r>
              <w:t xml:space="preserve">nr-DL-PRS-RSRP-Result-r16 </w:t>
            </w:r>
            <w:r>
              <w:rPr>
                <w:rFonts w:eastAsia="Wingdings"/>
              </w:rPr>
              <w:sym w:font="Wingdings" w:char="F0E0"/>
            </w:r>
            <w:r>
              <w:t xml:space="preserve"> 7 bits</w:t>
            </w:r>
          </w:p>
          <w:p>
            <w:r>
              <w:t xml:space="preserve">nr-DL-PRS-RSRP-ResultDiff-r16 </w:t>
            </w:r>
            <w:r>
              <w:rPr>
                <w:rFonts w:eastAsia="Wingdings"/>
              </w:rPr>
              <w:sym w:font="Wingdings" w:char="F0E0"/>
            </w:r>
            <w:r>
              <w:t xml:space="preserve"> 6 bits</w:t>
            </w:r>
          </w:p>
          <w:p>
            <w:r>
              <w:t xml:space="preserve">nr-RSTD-r16 </w:t>
            </w:r>
            <w:r>
              <w:rPr>
                <w:rFonts w:eastAsia="Wingdings"/>
              </w:rPr>
              <w:sym w:font="Wingdings" w:char="F0E0"/>
            </w:r>
            <w:r>
              <w:t xml:space="preserve"> 16 to 21 bits</w:t>
            </w:r>
          </w:p>
          <w:p>
            <w:r>
              <w:t xml:space="preserve">nr-RelativeTimeDifference-r16 </w:t>
            </w:r>
            <w:r>
              <w:rPr>
                <w:rFonts w:eastAsia="Wingdings"/>
              </w:rPr>
              <w:sym w:font="Wingdings" w:char="F0E0"/>
            </w:r>
            <w:r>
              <w:t xml:space="preserve"> 9 to 14 bits</w:t>
            </w:r>
          </w:p>
          <w:p/>
          <w:p>
            <w:pPr>
              <w:rPr>
                <w:u w:val="single"/>
              </w:rPr>
            </w:pPr>
            <w:r>
              <w:rPr>
                <w:u w:val="single"/>
              </w:rPr>
              <w:t>For location information label:</w:t>
            </w:r>
          </w:p>
          <w:p>
            <w:r>
              <w:rPr>
                <w:rStyle w:val="71"/>
              </w:rPr>
              <w:t>The bit representation depends on the type of shape, resolution, and uncertainty used to indicate the location (e.g., ellipsoid point, ellipsoid point with uncertainty circle, high accuracy ellipsoid with uncertainty ellipsoid, etc.) as listed in TS 23.032. The range of bit representation can be 7 bytes to 18 bytes (i.e., 56 to 144 bits).</w:t>
            </w:r>
          </w:p>
          <w:p/>
          <w:p>
            <w:r>
              <w:t>Note 2: measurement types (including their necessity) and sizes/dimension needs further discussion.</w:t>
            </w:r>
          </w:p>
          <w:p>
            <w:r>
              <w:t>Note 3:  Spec allows reporting of up to 64 PRS/SRS resources per frequency layer.. For evaluations, most companies considered up to 18 TRPs.</w:t>
            </w:r>
          </w:p>
          <w:p>
            <w:r>
              <w:t>Note 4: The necessity and feasibility of difference cases (Case1 to Case3b) needs further discussion/conclusion.</w:t>
            </w:r>
          </w:p>
        </w:tc>
      </w:tr>
    </w:tbl>
    <w:p>
      <w:pPr>
        <w:pStyle w:val="35"/>
        <w:numPr>
          <w:ilvl w:val="0"/>
          <w:numId w:val="7"/>
        </w:numPr>
        <w:snapToGrid w:val="0"/>
        <w:spacing w:before="120" w:beforeLines="50" w:line="288" w:lineRule="auto"/>
        <w:ind w:firstLineChars="0"/>
        <w:outlineLvl w:val="0"/>
        <w:rPr>
          <w:rFonts w:ascii="Arial" w:hAnsi="Arial" w:cs="Arial"/>
          <w:b/>
          <w:sz w:val="24"/>
          <w:szCs w:val="24"/>
        </w:rPr>
      </w:pPr>
      <w:bookmarkStart w:id="1" w:name="_GoBack"/>
      <w:bookmarkEnd w:id="1"/>
      <w:r>
        <w:rPr>
          <w:rFonts w:ascii="Arial" w:hAnsi="Arial" w:cs="Arial"/>
          <w:b/>
          <w:sz w:val="24"/>
          <w:szCs w:val="24"/>
        </w:rPr>
        <w:t>References</w:t>
      </w:r>
    </w:p>
    <w:p>
      <w:pPr>
        <w:widowControl w:val="0"/>
        <w:numPr>
          <w:ilvl w:val="0"/>
          <w:numId w:val="20"/>
        </w:numPr>
        <w:snapToGrid w:val="0"/>
        <w:spacing w:before="120" w:beforeLines="50" w:line="288" w:lineRule="auto"/>
        <w:jc w:val="both"/>
        <w:rPr>
          <w:rFonts w:eastAsia="宋体"/>
          <w:kern w:val="2"/>
          <w:lang w:val="en-US" w:eastAsia="zh-CN"/>
        </w:rPr>
      </w:pPr>
      <w:r>
        <w:rPr>
          <w:rFonts w:eastAsia="宋体"/>
        </w:rPr>
        <w:t>R2-2306906, LS out on Data Collection Requirements and Assumptions, TSG-RAN WG2 Meeting #122.</w:t>
      </w:r>
    </w:p>
    <w:p>
      <w:pPr>
        <w:widowControl w:val="0"/>
        <w:numPr>
          <w:ilvl w:val="0"/>
          <w:numId w:val="20"/>
        </w:numPr>
        <w:snapToGrid w:val="0"/>
        <w:spacing w:before="120" w:beforeLines="50" w:line="288" w:lineRule="auto"/>
        <w:jc w:val="both"/>
        <w:rPr>
          <w:rFonts w:eastAsia="宋体"/>
          <w:kern w:val="2"/>
          <w:lang w:val="en-US" w:eastAsia="zh-CN"/>
        </w:rPr>
      </w:pPr>
      <w:r>
        <w:rPr>
          <w:rFonts w:eastAsia="宋体"/>
          <w:kern w:val="2"/>
          <w:lang w:val="en-US" w:eastAsia="zh-CN"/>
        </w:rPr>
        <w:t>R1-2308730, RAN2 LS reply on data collection</w:t>
      </w:r>
      <w:r>
        <w:rPr>
          <w:rFonts w:eastAsia="宋体"/>
        </w:rPr>
        <w:t>, TSG-RAN WG1 Meeting #114.</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Yu Gothic UI Semibold">
    <w:panose1 w:val="020B07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3A63706"/>
    <w:multiLevelType w:val="multilevel"/>
    <w:tmpl w:val="03A63706"/>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65E7F0A"/>
    <w:multiLevelType w:val="multilevel"/>
    <w:tmpl w:val="065E7F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09A135C"/>
    <w:multiLevelType w:val="multilevel"/>
    <w:tmpl w:val="109A135C"/>
    <w:lvl w:ilvl="0" w:tentative="0">
      <w:start w:val="1"/>
      <w:numFmt w:val="decimal"/>
      <w:pStyle w:val="64"/>
      <w:lvlText w:val="Proposal %1:"/>
      <w:lvlJc w:val="left"/>
      <w:pPr>
        <w:ind w:left="1980" w:hanging="420"/>
      </w:pPr>
      <w:rPr>
        <w:rFonts w:hint="default" w:ascii="Times New Roman" w:hAnsi="Times New Roman"/>
        <w:b/>
        <w:i/>
        <w:sz w:val="21"/>
        <w:u w:val="single"/>
        <w:lang w:val="en-GB"/>
      </w:rPr>
    </w:lvl>
    <w:lvl w:ilvl="1" w:tentative="0">
      <w:start w:val="1"/>
      <w:numFmt w:val="lowerLetter"/>
      <w:lvlText w:val="%2)"/>
      <w:lvlJc w:val="left"/>
      <w:pPr>
        <w:ind w:left="2440" w:hanging="440"/>
      </w:pPr>
    </w:lvl>
    <w:lvl w:ilvl="2" w:tentative="0">
      <w:start w:val="1"/>
      <w:numFmt w:val="lowerRoman"/>
      <w:lvlText w:val="%3."/>
      <w:lvlJc w:val="right"/>
      <w:pPr>
        <w:ind w:left="2880" w:hanging="440"/>
      </w:pPr>
    </w:lvl>
    <w:lvl w:ilvl="3" w:tentative="0">
      <w:start w:val="1"/>
      <w:numFmt w:val="decimal"/>
      <w:lvlText w:val="%4."/>
      <w:lvlJc w:val="left"/>
      <w:pPr>
        <w:ind w:left="3320" w:hanging="440"/>
      </w:pPr>
    </w:lvl>
    <w:lvl w:ilvl="4" w:tentative="0">
      <w:start w:val="1"/>
      <w:numFmt w:val="lowerLetter"/>
      <w:lvlText w:val="%5)"/>
      <w:lvlJc w:val="left"/>
      <w:pPr>
        <w:ind w:left="3760" w:hanging="440"/>
      </w:pPr>
    </w:lvl>
    <w:lvl w:ilvl="5" w:tentative="0">
      <w:start w:val="1"/>
      <w:numFmt w:val="lowerRoman"/>
      <w:lvlText w:val="%6."/>
      <w:lvlJc w:val="right"/>
      <w:pPr>
        <w:ind w:left="4200" w:hanging="440"/>
      </w:pPr>
    </w:lvl>
    <w:lvl w:ilvl="6" w:tentative="0">
      <w:start w:val="1"/>
      <w:numFmt w:val="decimal"/>
      <w:lvlText w:val="%7."/>
      <w:lvlJc w:val="left"/>
      <w:pPr>
        <w:ind w:left="4640" w:hanging="440"/>
      </w:pPr>
    </w:lvl>
    <w:lvl w:ilvl="7" w:tentative="0">
      <w:start w:val="1"/>
      <w:numFmt w:val="lowerLetter"/>
      <w:lvlText w:val="%8)"/>
      <w:lvlJc w:val="left"/>
      <w:pPr>
        <w:ind w:left="5080" w:hanging="440"/>
      </w:pPr>
    </w:lvl>
    <w:lvl w:ilvl="8" w:tentative="0">
      <w:start w:val="1"/>
      <w:numFmt w:val="lowerRoman"/>
      <w:lvlText w:val="%9."/>
      <w:lvlJc w:val="right"/>
      <w:pPr>
        <w:ind w:left="5520" w:hanging="440"/>
      </w:pPr>
    </w:lvl>
  </w:abstractNum>
  <w:abstractNum w:abstractNumId="4">
    <w:nsid w:val="119373D0"/>
    <w:multiLevelType w:val="multilevel"/>
    <w:tmpl w:val="119373D0"/>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13781F42"/>
    <w:multiLevelType w:val="multilevel"/>
    <w:tmpl w:val="13781F42"/>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8193B13"/>
    <w:multiLevelType w:val="multilevel"/>
    <w:tmpl w:val="18193B13"/>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B0A1344"/>
    <w:multiLevelType w:val="singleLevel"/>
    <w:tmpl w:val="1B0A1344"/>
    <w:lvl w:ilvl="0" w:tentative="0">
      <w:start w:val="1"/>
      <w:numFmt w:val="bullet"/>
      <w:pStyle w:val="31"/>
      <w:lvlText w:val=""/>
      <w:lvlJc w:val="left"/>
      <w:pPr>
        <w:tabs>
          <w:tab w:val="left" w:pos="0"/>
        </w:tabs>
        <w:ind w:left="1728" w:hanging="288"/>
      </w:pPr>
      <w:rPr>
        <w:rFonts w:hint="default" w:ascii="Monotype Sorts" w:hAnsi="Monotype Sorts"/>
      </w:rPr>
    </w:lvl>
  </w:abstractNum>
  <w:abstractNum w:abstractNumId="8">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8F44499"/>
    <w:multiLevelType w:val="multilevel"/>
    <w:tmpl w:val="28F4449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B075BCA"/>
    <w:multiLevelType w:val="multilevel"/>
    <w:tmpl w:val="2B075BCA"/>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9687885"/>
    <w:multiLevelType w:val="multilevel"/>
    <w:tmpl w:val="396878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1CA2C26"/>
    <w:multiLevelType w:val="singleLevel"/>
    <w:tmpl w:val="41CA2C26"/>
    <w:lvl w:ilvl="0" w:tentative="0">
      <w:start w:val="1"/>
      <w:numFmt w:val="bullet"/>
      <w:pStyle w:val="29"/>
      <w:lvlText w:val=""/>
      <w:lvlJc w:val="left"/>
      <w:pPr>
        <w:tabs>
          <w:tab w:val="left" w:pos="360"/>
        </w:tabs>
        <w:ind w:left="360" w:hanging="360"/>
      </w:pPr>
      <w:rPr>
        <w:rFonts w:hint="default" w:ascii="Webdings" w:hAnsi="Webdings"/>
      </w:rPr>
    </w:lvl>
  </w:abstractNum>
  <w:abstractNum w:abstractNumId="13">
    <w:nsid w:val="496B607E"/>
    <w:multiLevelType w:val="multilevel"/>
    <w:tmpl w:val="496B607E"/>
    <w:lvl w:ilvl="0" w:tentative="0">
      <w:start w:val="1"/>
      <w:numFmt w:val="bullet"/>
      <w:lvlText w:val=""/>
      <w:lvlJc w:val="left"/>
      <w:pPr>
        <w:ind w:left="1160" w:hanging="440"/>
      </w:pPr>
      <w:rPr>
        <w:rFonts w:hint="default" w:ascii="Symbol" w:hAnsi="Symbol"/>
      </w:rPr>
    </w:lvl>
    <w:lvl w:ilvl="1" w:tentative="0">
      <w:start w:val="1"/>
      <w:numFmt w:val="bullet"/>
      <w:lvlText w:val=""/>
      <w:lvlJc w:val="left"/>
      <w:pPr>
        <w:ind w:left="1600" w:hanging="440"/>
      </w:pPr>
      <w:rPr>
        <w:rFonts w:hint="default" w:ascii="Wingdings" w:hAnsi="Wingdings"/>
      </w:rPr>
    </w:lvl>
    <w:lvl w:ilvl="2" w:tentative="0">
      <w:start w:val="1"/>
      <w:numFmt w:val="bullet"/>
      <w:lvlText w:val=""/>
      <w:lvlJc w:val="left"/>
      <w:pPr>
        <w:ind w:left="2040" w:hanging="440"/>
      </w:pPr>
      <w:rPr>
        <w:rFonts w:hint="default" w:ascii="Wingdings" w:hAnsi="Wingdings"/>
      </w:rPr>
    </w:lvl>
    <w:lvl w:ilvl="3" w:tentative="0">
      <w:start w:val="1"/>
      <w:numFmt w:val="bullet"/>
      <w:lvlText w:val=""/>
      <w:lvlJc w:val="left"/>
      <w:pPr>
        <w:ind w:left="2480" w:hanging="440"/>
      </w:pPr>
      <w:rPr>
        <w:rFonts w:hint="default" w:ascii="Wingdings" w:hAnsi="Wingdings"/>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abstractNum w:abstractNumId="14">
    <w:nsid w:val="4C3B49B0"/>
    <w:multiLevelType w:val="multilevel"/>
    <w:tmpl w:val="4C3B49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49A69FD"/>
    <w:multiLevelType w:val="multilevel"/>
    <w:tmpl w:val="549A69FD"/>
    <w:lvl w:ilvl="0" w:tentative="0">
      <w:start w:val="5"/>
      <w:numFmt w:val="decimal"/>
      <w:pStyle w:val="3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6">
    <w:nsid w:val="5F1912B1"/>
    <w:multiLevelType w:val="multilevel"/>
    <w:tmpl w:val="5F1912B1"/>
    <w:lvl w:ilvl="0" w:tentative="0">
      <w:start w:val="1"/>
      <w:numFmt w:val="bullet"/>
      <w:pStyle w:val="57"/>
      <w:lvlText w:val=""/>
      <w:lvlJc w:val="left"/>
      <w:pPr>
        <w:ind w:left="502"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3690C9E"/>
    <w:multiLevelType w:val="singleLevel"/>
    <w:tmpl w:val="63690C9E"/>
    <w:lvl w:ilvl="0" w:tentative="0">
      <w:start w:val="1"/>
      <w:numFmt w:val="bullet"/>
      <w:pStyle w:val="28"/>
      <w:lvlText w:val=""/>
      <w:lvlJc w:val="left"/>
      <w:pPr>
        <w:tabs>
          <w:tab w:val="left" w:pos="360"/>
        </w:tabs>
        <w:ind w:left="360" w:hanging="360"/>
      </w:pPr>
      <w:rPr>
        <w:rFonts w:hint="default" w:ascii="Wingdings" w:hAnsi="Wingdings"/>
      </w:rPr>
    </w:lvl>
  </w:abstractNum>
  <w:abstractNum w:abstractNumId="18">
    <w:nsid w:val="7526075B"/>
    <w:multiLevelType w:val="multilevel"/>
    <w:tmpl w:val="7526075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7902204D"/>
    <w:multiLevelType w:val="multilevel"/>
    <w:tmpl w:val="790220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7"/>
  </w:num>
  <w:num w:numId="2">
    <w:abstractNumId w:val="12"/>
  </w:num>
  <w:num w:numId="3">
    <w:abstractNumId w:val="15"/>
  </w:num>
  <w:num w:numId="4">
    <w:abstractNumId w:val="7"/>
  </w:num>
  <w:num w:numId="5">
    <w:abstractNumId w:val="16"/>
  </w:num>
  <w:num w:numId="6">
    <w:abstractNumId w:val="3"/>
  </w:num>
  <w:num w:numId="7">
    <w:abstractNumId w:val="4"/>
  </w:num>
  <w:num w:numId="8">
    <w:abstractNumId w:val="9"/>
  </w:num>
  <w:num w:numId="9">
    <w:abstractNumId w:val="6"/>
  </w:num>
  <w:num w:numId="10">
    <w:abstractNumId w:val="19"/>
  </w:num>
  <w:num w:numId="11">
    <w:abstractNumId w:val="10"/>
  </w:num>
  <w:num w:numId="12">
    <w:abstractNumId w:val="5"/>
  </w:num>
  <w:num w:numId="13">
    <w:abstractNumId w:val="18"/>
  </w:num>
  <w:num w:numId="14">
    <w:abstractNumId w:val="1"/>
  </w:num>
  <w:num w:numId="15">
    <w:abstractNumId w:val="8"/>
  </w:num>
  <w:num w:numId="16">
    <w:abstractNumId w:val="14"/>
  </w:num>
  <w:num w:numId="17">
    <w:abstractNumId w:val="2"/>
  </w:num>
  <w:num w:numId="18">
    <w:abstractNumId w:val="11"/>
  </w:num>
  <w:num w:numId="19">
    <w:abstractNumId w:val="1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418"/>
    <w:rsid w:val="00002A28"/>
    <w:rsid w:val="000036FD"/>
    <w:rsid w:val="00004D2C"/>
    <w:rsid w:val="00006D80"/>
    <w:rsid w:val="00014466"/>
    <w:rsid w:val="0001542C"/>
    <w:rsid w:val="0001561A"/>
    <w:rsid w:val="00015988"/>
    <w:rsid w:val="00015B32"/>
    <w:rsid w:val="00016B3A"/>
    <w:rsid w:val="00017CBC"/>
    <w:rsid w:val="000200E0"/>
    <w:rsid w:val="000212C4"/>
    <w:rsid w:val="0002274A"/>
    <w:rsid w:val="00023444"/>
    <w:rsid w:val="000258AE"/>
    <w:rsid w:val="00027D8F"/>
    <w:rsid w:val="00033A45"/>
    <w:rsid w:val="000340E9"/>
    <w:rsid w:val="000350B5"/>
    <w:rsid w:val="00035491"/>
    <w:rsid w:val="0003562C"/>
    <w:rsid w:val="00035E1A"/>
    <w:rsid w:val="00036B2B"/>
    <w:rsid w:val="000379E4"/>
    <w:rsid w:val="000424B5"/>
    <w:rsid w:val="00043C7F"/>
    <w:rsid w:val="00045CE2"/>
    <w:rsid w:val="000463C4"/>
    <w:rsid w:val="00053070"/>
    <w:rsid w:val="000546D6"/>
    <w:rsid w:val="0005513D"/>
    <w:rsid w:val="00055E6E"/>
    <w:rsid w:val="00055FF7"/>
    <w:rsid w:val="00060A93"/>
    <w:rsid w:val="00060DCF"/>
    <w:rsid w:val="0006251C"/>
    <w:rsid w:val="0006269B"/>
    <w:rsid w:val="000631B0"/>
    <w:rsid w:val="00067DAC"/>
    <w:rsid w:val="000711E3"/>
    <w:rsid w:val="00071954"/>
    <w:rsid w:val="00073BE1"/>
    <w:rsid w:val="00074BFD"/>
    <w:rsid w:val="00074E69"/>
    <w:rsid w:val="000778C5"/>
    <w:rsid w:val="000778F4"/>
    <w:rsid w:val="0008450F"/>
    <w:rsid w:val="00086659"/>
    <w:rsid w:val="00096028"/>
    <w:rsid w:val="000A0D3F"/>
    <w:rsid w:val="000A11EB"/>
    <w:rsid w:val="000A16E3"/>
    <w:rsid w:val="000A234B"/>
    <w:rsid w:val="000A275B"/>
    <w:rsid w:val="000A6C8B"/>
    <w:rsid w:val="000A7770"/>
    <w:rsid w:val="000B1A96"/>
    <w:rsid w:val="000B2146"/>
    <w:rsid w:val="000B3887"/>
    <w:rsid w:val="000B478F"/>
    <w:rsid w:val="000C1D0B"/>
    <w:rsid w:val="000C2CA4"/>
    <w:rsid w:val="000D0FEE"/>
    <w:rsid w:val="000D1F28"/>
    <w:rsid w:val="000D27C5"/>
    <w:rsid w:val="000E1E89"/>
    <w:rsid w:val="000E2252"/>
    <w:rsid w:val="000E484C"/>
    <w:rsid w:val="000E554B"/>
    <w:rsid w:val="000E7253"/>
    <w:rsid w:val="000F099C"/>
    <w:rsid w:val="000F7633"/>
    <w:rsid w:val="00103B82"/>
    <w:rsid w:val="00104445"/>
    <w:rsid w:val="0011276F"/>
    <w:rsid w:val="001128F9"/>
    <w:rsid w:val="001145AE"/>
    <w:rsid w:val="001162F7"/>
    <w:rsid w:val="001214B9"/>
    <w:rsid w:val="00124307"/>
    <w:rsid w:val="00124E00"/>
    <w:rsid w:val="0012570C"/>
    <w:rsid w:val="001262B0"/>
    <w:rsid w:val="00126A24"/>
    <w:rsid w:val="00134245"/>
    <w:rsid w:val="00142228"/>
    <w:rsid w:val="00145B43"/>
    <w:rsid w:val="0014728E"/>
    <w:rsid w:val="00151AFB"/>
    <w:rsid w:val="00153460"/>
    <w:rsid w:val="00153809"/>
    <w:rsid w:val="00154586"/>
    <w:rsid w:val="00154A0D"/>
    <w:rsid w:val="00156BA4"/>
    <w:rsid w:val="00161861"/>
    <w:rsid w:val="00163E78"/>
    <w:rsid w:val="00164989"/>
    <w:rsid w:val="0016650D"/>
    <w:rsid w:val="00166774"/>
    <w:rsid w:val="00167C24"/>
    <w:rsid w:val="00167D12"/>
    <w:rsid w:val="00170C8E"/>
    <w:rsid w:val="00171762"/>
    <w:rsid w:val="00172212"/>
    <w:rsid w:val="00172444"/>
    <w:rsid w:val="00172FF2"/>
    <w:rsid w:val="0017361C"/>
    <w:rsid w:val="00173AA3"/>
    <w:rsid w:val="001747D3"/>
    <w:rsid w:val="00174BCA"/>
    <w:rsid w:val="00176490"/>
    <w:rsid w:val="0018008C"/>
    <w:rsid w:val="00180763"/>
    <w:rsid w:val="00186195"/>
    <w:rsid w:val="00187615"/>
    <w:rsid w:val="0019354B"/>
    <w:rsid w:val="00195F00"/>
    <w:rsid w:val="001A0786"/>
    <w:rsid w:val="001A0EE6"/>
    <w:rsid w:val="001A1560"/>
    <w:rsid w:val="001A1675"/>
    <w:rsid w:val="001A2977"/>
    <w:rsid w:val="001A36FE"/>
    <w:rsid w:val="001A423F"/>
    <w:rsid w:val="001A4EBC"/>
    <w:rsid w:val="001B022A"/>
    <w:rsid w:val="001B0514"/>
    <w:rsid w:val="001B1357"/>
    <w:rsid w:val="001B23F5"/>
    <w:rsid w:val="001B354D"/>
    <w:rsid w:val="001B3C3A"/>
    <w:rsid w:val="001B42FA"/>
    <w:rsid w:val="001B47FF"/>
    <w:rsid w:val="001B4E6B"/>
    <w:rsid w:val="001B5A33"/>
    <w:rsid w:val="001B5BF7"/>
    <w:rsid w:val="001B64A7"/>
    <w:rsid w:val="001C00E0"/>
    <w:rsid w:val="001C026B"/>
    <w:rsid w:val="001C0F87"/>
    <w:rsid w:val="001C1A01"/>
    <w:rsid w:val="001C3260"/>
    <w:rsid w:val="001C3742"/>
    <w:rsid w:val="001C7B81"/>
    <w:rsid w:val="001D05BC"/>
    <w:rsid w:val="001D2C0A"/>
    <w:rsid w:val="001D433C"/>
    <w:rsid w:val="001D54B3"/>
    <w:rsid w:val="001D54D7"/>
    <w:rsid w:val="001D6465"/>
    <w:rsid w:val="001D6B1E"/>
    <w:rsid w:val="001E3BD1"/>
    <w:rsid w:val="001E45AB"/>
    <w:rsid w:val="001E48C7"/>
    <w:rsid w:val="001E60B1"/>
    <w:rsid w:val="001E61A7"/>
    <w:rsid w:val="001E7A29"/>
    <w:rsid w:val="001F0270"/>
    <w:rsid w:val="001F0B95"/>
    <w:rsid w:val="001F1ADD"/>
    <w:rsid w:val="001F2A17"/>
    <w:rsid w:val="001F305A"/>
    <w:rsid w:val="001F371E"/>
    <w:rsid w:val="001F45BA"/>
    <w:rsid w:val="001F48E5"/>
    <w:rsid w:val="002004BF"/>
    <w:rsid w:val="00200A26"/>
    <w:rsid w:val="0020241D"/>
    <w:rsid w:val="00203192"/>
    <w:rsid w:val="002045F7"/>
    <w:rsid w:val="00205C49"/>
    <w:rsid w:val="002076BF"/>
    <w:rsid w:val="00207A37"/>
    <w:rsid w:val="00207FD1"/>
    <w:rsid w:val="00212D41"/>
    <w:rsid w:val="00213DDD"/>
    <w:rsid w:val="002142FA"/>
    <w:rsid w:val="00214EEB"/>
    <w:rsid w:val="002154EA"/>
    <w:rsid w:val="00215EB8"/>
    <w:rsid w:val="00216FDD"/>
    <w:rsid w:val="00217478"/>
    <w:rsid w:val="0021797A"/>
    <w:rsid w:val="00217C64"/>
    <w:rsid w:val="002215B1"/>
    <w:rsid w:val="00221662"/>
    <w:rsid w:val="00222DF5"/>
    <w:rsid w:val="00224912"/>
    <w:rsid w:val="0022584B"/>
    <w:rsid w:val="00227D0F"/>
    <w:rsid w:val="00230522"/>
    <w:rsid w:val="002313D9"/>
    <w:rsid w:val="00233A89"/>
    <w:rsid w:val="00237087"/>
    <w:rsid w:val="0023736B"/>
    <w:rsid w:val="002403FB"/>
    <w:rsid w:val="0024744C"/>
    <w:rsid w:val="00250515"/>
    <w:rsid w:val="00252C26"/>
    <w:rsid w:val="00253398"/>
    <w:rsid w:val="00255CC3"/>
    <w:rsid w:val="002566A2"/>
    <w:rsid w:val="00260AE2"/>
    <w:rsid w:val="00260DFA"/>
    <w:rsid w:val="0026130D"/>
    <w:rsid w:val="0026175E"/>
    <w:rsid w:val="00262469"/>
    <w:rsid w:val="0026344E"/>
    <w:rsid w:val="002635DC"/>
    <w:rsid w:val="00263601"/>
    <w:rsid w:val="00263BFD"/>
    <w:rsid w:val="002646A5"/>
    <w:rsid w:val="002707B9"/>
    <w:rsid w:val="0027222B"/>
    <w:rsid w:val="00273D56"/>
    <w:rsid w:val="00276BAE"/>
    <w:rsid w:val="00281F37"/>
    <w:rsid w:val="00283D74"/>
    <w:rsid w:val="00287A85"/>
    <w:rsid w:val="002926F3"/>
    <w:rsid w:val="00292C40"/>
    <w:rsid w:val="00293444"/>
    <w:rsid w:val="002969CC"/>
    <w:rsid w:val="00296A08"/>
    <w:rsid w:val="00296A32"/>
    <w:rsid w:val="002A15E5"/>
    <w:rsid w:val="002A3A02"/>
    <w:rsid w:val="002A6550"/>
    <w:rsid w:val="002A72EA"/>
    <w:rsid w:val="002B0756"/>
    <w:rsid w:val="002B25FC"/>
    <w:rsid w:val="002B3A9B"/>
    <w:rsid w:val="002B4931"/>
    <w:rsid w:val="002B4E5B"/>
    <w:rsid w:val="002B6070"/>
    <w:rsid w:val="002B68F5"/>
    <w:rsid w:val="002B7882"/>
    <w:rsid w:val="002C4669"/>
    <w:rsid w:val="002C4FFC"/>
    <w:rsid w:val="002C5D28"/>
    <w:rsid w:val="002C79D3"/>
    <w:rsid w:val="002C7B0C"/>
    <w:rsid w:val="002C7D0F"/>
    <w:rsid w:val="002D0217"/>
    <w:rsid w:val="002D1CEE"/>
    <w:rsid w:val="002D2459"/>
    <w:rsid w:val="002D540F"/>
    <w:rsid w:val="002D557A"/>
    <w:rsid w:val="002D7270"/>
    <w:rsid w:val="002E00DD"/>
    <w:rsid w:val="002E037A"/>
    <w:rsid w:val="002E063E"/>
    <w:rsid w:val="002E19CC"/>
    <w:rsid w:val="002F1844"/>
    <w:rsid w:val="002F74E9"/>
    <w:rsid w:val="0030194E"/>
    <w:rsid w:val="003026F6"/>
    <w:rsid w:val="00302EBB"/>
    <w:rsid w:val="003031A1"/>
    <w:rsid w:val="00304ECE"/>
    <w:rsid w:val="00305562"/>
    <w:rsid w:val="00307129"/>
    <w:rsid w:val="00310485"/>
    <w:rsid w:val="00310BBC"/>
    <w:rsid w:val="00315A68"/>
    <w:rsid w:val="00315A85"/>
    <w:rsid w:val="0032218D"/>
    <w:rsid w:val="00323CEF"/>
    <w:rsid w:val="00323E68"/>
    <w:rsid w:val="00327995"/>
    <w:rsid w:val="00330D51"/>
    <w:rsid w:val="00331DE4"/>
    <w:rsid w:val="00331ECB"/>
    <w:rsid w:val="00332269"/>
    <w:rsid w:val="00332502"/>
    <w:rsid w:val="00332B4E"/>
    <w:rsid w:val="003342BB"/>
    <w:rsid w:val="00336734"/>
    <w:rsid w:val="0034241B"/>
    <w:rsid w:val="00342E8D"/>
    <w:rsid w:val="0034347D"/>
    <w:rsid w:val="003434D5"/>
    <w:rsid w:val="00346547"/>
    <w:rsid w:val="0034707B"/>
    <w:rsid w:val="00351464"/>
    <w:rsid w:val="00351DC1"/>
    <w:rsid w:val="00351DFB"/>
    <w:rsid w:val="00353882"/>
    <w:rsid w:val="00355B76"/>
    <w:rsid w:val="003568A4"/>
    <w:rsid w:val="00356F7C"/>
    <w:rsid w:val="00361B74"/>
    <w:rsid w:val="0036251C"/>
    <w:rsid w:val="00363EAB"/>
    <w:rsid w:val="003642B3"/>
    <w:rsid w:val="003654F8"/>
    <w:rsid w:val="00370A6B"/>
    <w:rsid w:val="00371810"/>
    <w:rsid w:val="003719B7"/>
    <w:rsid w:val="00372216"/>
    <w:rsid w:val="0037549F"/>
    <w:rsid w:val="003769E9"/>
    <w:rsid w:val="00377DDA"/>
    <w:rsid w:val="003809BE"/>
    <w:rsid w:val="00382CA2"/>
    <w:rsid w:val="00386569"/>
    <w:rsid w:val="00386A5F"/>
    <w:rsid w:val="003874AB"/>
    <w:rsid w:val="00387A7D"/>
    <w:rsid w:val="00390DD7"/>
    <w:rsid w:val="00391CBD"/>
    <w:rsid w:val="00392364"/>
    <w:rsid w:val="00393920"/>
    <w:rsid w:val="003943DC"/>
    <w:rsid w:val="003944AE"/>
    <w:rsid w:val="00395354"/>
    <w:rsid w:val="0039555A"/>
    <w:rsid w:val="003A01C8"/>
    <w:rsid w:val="003A358A"/>
    <w:rsid w:val="003A3924"/>
    <w:rsid w:val="003A45AE"/>
    <w:rsid w:val="003A48F2"/>
    <w:rsid w:val="003A54C5"/>
    <w:rsid w:val="003A58CC"/>
    <w:rsid w:val="003A77AF"/>
    <w:rsid w:val="003B1162"/>
    <w:rsid w:val="003B31AB"/>
    <w:rsid w:val="003B42B4"/>
    <w:rsid w:val="003C254A"/>
    <w:rsid w:val="003C56D1"/>
    <w:rsid w:val="003C68BE"/>
    <w:rsid w:val="003C6F62"/>
    <w:rsid w:val="003D12DF"/>
    <w:rsid w:val="003D26B5"/>
    <w:rsid w:val="003D35B5"/>
    <w:rsid w:val="003E0226"/>
    <w:rsid w:val="003E053F"/>
    <w:rsid w:val="003E076C"/>
    <w:rsid w:val="003E0811"/>
    <w:rsid w:val="003E37DC"/>
    <w:rsid w:val="003E3F72"/>
    <w:rsid w:val="003E5CA9"/>
    <w:rsid w:val="003E762C"/>
    <w:rsid w:val="003E7B1C"/>
    <w:rsid w:val="003F18B6"/>
    <w:rsid w:val="003F192B"/>
    <w:rsid w:val="003F347B"/>
    <w:rsid w:val="003F579B"/>
    <w:rsid w:val="00401ED6"/>
    <w:rsid w:val="00402131"/>
    <w:rsid w:val="00403C90"/>
    <w:rsid w:val="004041CC"/>
    <w:rsid w:val="00405A48"/>
    <w:rsid w:val="00410768"/>
    <w:rsid w:val="00411227"/>
    <w:rsid w:val="004132E1"/>
    <w:rsid w:val="00417A4A"/>
    <w:rsid w:val="0042362C"/>
    <w:rsid w:val="00423C3A"/>
    <w:rsid w:val="00427ADC"/>
    <w:rsid w:val="004304DA"/>
    <w:rsid w:val="00430EFC"/>
    <w:rsid w:val="00432349"/>
    <w:rsid w:val="004370C4"/>
    <w:rsid w:val="004403DF"/>
    <w:rsid w:val="00440E72"/>
    <w:rsid w:val="0044104E"/>
    <w:rsid w:val="00442E67"/>
    <w:rsid w:val="00443A22"/>
    <w:rsid w:val="00445F63"/>
    <w:rsid w:val="00446D92"/>
    <w:rsid w:val="004501D6"/>
    <w:rsid w:val="004515AB"/>
    <w:rsid w:val="004535DC"/>
    <w:rsid w:val="0045655A"/>
    <w:rsid w:val="00456FF2"/>
    <w:rsid w:val="00457581"/>
    <w:rsid w:val="0045789C"/>
    <w:rsid w:val="00460448"/>
    <w:rsid w:val="004606DA"/>
    <w:rsid w:val="004607C3"/>
    <w:rsid w:val="00460A36"/>
    <w:rsid w:val="00460C58"/>
    <w:rsid w:val="00464A09"/>
    <w:rsid w:val="00470B67"/>
    <w:rsid w:val="00471EC5"/>
    <w:rsid w:val="004726D8"/>
    <w:rsid w:val="004731B3"/>
    <w:rsid w:val="00475245"/>
    <w:rsid w:val="00475F48"/>
    <w:rsid w:val="00476E0F"/>
    <w:rsid w:val="00480493"/>
    <w:rsid w:val="004807A8"/>
    <w:rsid w:val="004826A3"/>
    <w:rsid w:val="00483780"/>
    <w:rsid w:val="00484886"/>
    <w:rsid w:val="004850A0"/>
    <w:rsid w:val="00486049"/>
    <w:rsid w:val="00486138"/>
    <w:rsid w:val="004862E2"/>
    <w:rsid w:val="00490C03"/>
    <w:rsid w:val="00490EAD"/>
    <w:rsid w:val="004912D3"/>
    <w:rsid w:val="00491923"/>
    <w:rsid w:val="00494782"/>
    <w:rsid w:val="004959EC"/>
    <w:rsid w:val="00495F2F"/>
    <w:rsid w:val="00495F43"/>
    <w:rsid w:val="004A25A7"/>
    <w:rsid w:val="004A5DFE"/>
    <w:rsid w:val="004A6AC9"/>
    <w:rsid w:val="004A7A1C"/>
    <w:rsid w:val="004A7E7B"/>
    <w:rsid w:val="004B4761"/>
    <w:rsid w:val="004B4857"/>
    <w:rsid w:val="004B64AC"/>
    <w:rsid w:val="004B7876"/>
    <w:rsid w:val="004C0728"/>
    <w:rsid w:val="004C3625"/>
    <w:rsid w:val="004C5DB4"/>
    <w:rsid w:val="004C626C"/>
    <w:rsid w:val="004D0FAF"/>
    <w:rsid w:val="004D25A1"/>
    <w:rsid w:val="004D30B3"/>
    <w:rsid w:val="004D3BA9"/>
    <w:rsid w:val="004D42C5"/>
    <w:rsid w:val="004D4A57"/>
    <w:rsid w:val="004D5684"/>
    <w:rsid w:val="004D5D9C"/>
    <w:rsid w:val="004D6486"/>
    <w:rsid w:val="004D6905"/>
    <w:rsid w:val="004E0484"/>
    <w:rsid w:val="004E08D9"/>
    <w:rsid w:val="004E0C22"/>
    <w:rsid w:val="004E205C"/>
    <w:rsid w:val="004E2936"/>
    <w:rsid w:val="004E4645"/>
    <w:rsid w:val="004E4669"/>
    <w:rsid w:val="004E5216"/>
    <w:rsid w:val="004E5D76"/>
    <w:rsid w:val="004E60E9"/>
    <w:rsid w:val="004F0A79"/>
    <w:rsid w:val="004F0E61"/>
    <w:rsid w:val="004F27DA"/>
    <w:rsid w:val="004F5C59"/>
    <w:rsid w:val="004F5CDB"/>
    <w:rsid w:val="004F6111"/>
    <w:rsid w:val="004F61E9"/>
    <w:rsid w:val="004F6A21"/>
    <w:rsid w:val="004F6AD7"/>
    <w:rsid w:val="004F6D94"/>
    <w:rsid w:val="004F7F7C"/>
    <w:rsid w:val="00501054"/>
    <w:rsid w:val="005015CE"/>
    <w:rsid w:val="00501CAE"/>
    <w:rsid w:val="00501F3F"/>
    <w:rsid w:val="005032AB"/>
    <w:rsid w:val="00505B00"/>
    <w:rsid w:val="005075A6"/>
    <w:rsid w:val="0051394A"/>
    <w:rsid w:val="00514628"/>
    <w:rsid w:val="005161D6"/>
    <w:rsid w:val="0051697F"/>
    <w:rsid w:val="00521EEE"/>
    <w:rsid w:val="00525473"/>
    <w:rsid w:val="00525E79"/>
    <w:rsid w:val="0052697F"/>
    <w:rsid w:val="00527A81"/>
    <w:rsid w:val="0053078D"/>
    <w:rsid w:val="00533034"/>
    <w:rsid w:val="00533B53"/>
    <w:rsid w:val="00536199"/>
    <w:rsid w:val="00536E77"/>
    <w:rsid w:val="00542270"/>
    <w:rsid w:val="00547DC7"/>
    <w:rsid w:val="0055234A"/>
    <w:rsid w:val="005528BE"/>
    <w:rsid w:val="00552D1F"/>
    <w:rsid w:val="00553506"/>
    <w:rsid w:val="0055480A"/>
    <w:rsid w:val="00556A7E"/>
    <w:rsid w:val="00557D1D"/>
    <w:rsid w:val="00557D93"/>
    <w:rsid w:val="00557EA2"/>
    <w:rsid w:val="005618C3"/>
    <w:rsid w:val="00563314"/>
    <w:rsid w:val="00564716"/>
    <w:rsid w:val="00565751"/>
    <w:rsid w:val="00565FEC"/>
    <w:rsid w:val="005666FC"/>
    <w:rsid w:val="00570408"/>
    <w:rsid w:val="005707ED"/>
    <w:rsid w:val="00571315"/>
    <w:rsid w:val="005714D8"/>
    <w:rsid w:val="005716D9"/>
    <w:rsid w:val="00571804"/>
    <w:rsid w:val="00574AE9"/>
    <w:rsid w:val="00580F1F"/>
    <w:rsid w:val="00581354"/>
    <w:rsid w:val="00582E2E"/>
    <w:rsid w:val="005837BE"/>
    <w:rsid w:val="00586506"/>
    <w:rsid w:val="0058675F"/>
    <w:rsid w:val="00586814"/>
    <w:rsid w:val="005871CF"/>
    <w:rsid w:val="00590965"/>
    <w:rsid w:val="0059444C"/>
    <w:rsid w:val="0059456A"/>
    <w:rsid w:val="00594C11"/>
    <w:rsid w:val="0059521F"/>
    <w:rsid w:val="0059590B"/>
    <w:rsid w:val="005A0EF0"/>
    <w:rsid w:val="005A1AB0"/>
    <w:rsid w:val="005A2620"/>
    <w:rsid w:val="005A46D9"/>
    <w:rsid w:val="005A4B3B"/>
    <w:rsid w:val="005A5554"/>
    <w:rsid w:val="005A5642"/>
    <w:rsid w:val="005A584C"/>
    <w:rsid w:val="005A6EE8"/>
    <w:rsid w:val="005B02FE"/>
    <w:rsid w:val="005B39E5"/>
    <w:rsid w:val="005B4075"/>
    <w:rsid w:val="005B4575"/>
    <w:rsid w:val="005B46F9"/>
    <w:rsid w:val="005B51C6"/>
    <w:rsid w:val="005B56E6"/>
    <w:rsid w:val="005B6D8F"/>
    <w:rsid w:val="005B7BDF"/>
    <w:rsid w:val="005C3B8A"/>
    <w:rsid w:val="005C46F4"/>
    <w:rsid w:val="005C70E9"/>
    <w:rsid w:val="005D20F1"/>
    <w:rsid w:val="005D3267"/>
    <w:rsid w:val="005D33DB"/>
    <w:rsid w:val="005D4DBF"/>
    <w:rsid w:val="005D4F1D"/>
    <w:rsid w:val="005E08D3"/>
    <w:rsid w:val="005E580A"/>
    <w:rsid w:val="005E5D48"/>
    <w:rsid w:val="005E729E"/>
    <w:rsid w:val="005F5DDF"/>
    <w:rsid w:val="005F673A"/>
    <w:rsid w:val="00601139"/>
    <w:rsid w:val="00602CDE"/>
    <w:rsid w:val="00603221"/>
    <w:rsid w:val="00603FD9"/>
    <w:rsid w:val="00607373"/>
    <w:rsid w:val="00610DEC"/>
    <w:rsid w:val="00611E7E"/>
    <w:rsid w:val="00620176"/>
    <w:rsid w:val="006204E4"/>
    <w:rsid w:val="006217CE"/>
    <w:rsid w:val="00621D5B"/>
    <w:rsid w:val="006230F2"/>
    <w:rsid w:val="006259AB"/>
    <w:rsid w:val="006270DF"/>
    <w:rsid w:val="006307AE"/>
    <w:rsid w:val="0063692E"/>
    <w:rsid w:val="0063710B"/>
    <w:rsid w:val="00640993"/>
    <w:rsid w:val="00642158"/>
    <w:rsid w:val="00642684"/>
    <w:rsid w:val="0064359A"/>
    <w:rsid w:val="006437BA"/>
    <w:rsid w:val="00644C17"/>
    <w:rsid w:val="0064528C"/>
    <w:rsid w:val="00646D54"/>
    <w:rsid w:val="00647C49"/>
    <w:rsid w:val="00651014"/>
    <w:rsid w:val="006552F4"/>
    <w:rsid w:val="006559C4"/>
    <w:rsid w:val="006563E5"/>
    <w:rsid w:val="00656A3C"/>
    <w:rsid w:val="00661583"/>
    <w:rsid w:val="006615F6"/>
    <w:rsid w:val="006619B5"/>
    <w:rsid w:val="0066260A"/>
    <w:rsid w:val="0066379D"/>
    <w:rsid w:val="00663C72"/>
    <w:rsid w:val="00663FD2"/>
    <w:rsid w:val="00665A44"/>
    <w:rsid w:val="00665F43"/>
    <w:rsid w:val="00666BCD"/>
    <w:rsid w:val="0066737D"/>
    <w:rsid w:val="00672073"/>
    <w:rsid w:val="0067347C"/>
    <w:rsid w:val="00673582"/>
    <w:rsid w:val="00673FA0"/>
    <w:rsid w:val="00680B00"/>
    <w:rsid w:val="00682A80"/>
    <w:rsid w:val="00683F97"/>
    <w:rsid w:val="00684075"/>
    <w:rsid w:val="0068568C"/>
    <w:rsid w:val="0068726F"/>
    <w:rsid w:val="006878AD"/>
    <w:rsid w:val="0069099C"/>
    <w:rsid w:val="00691AFE"/>
    <w:rsid w:val="00697D4D"/>
    <w:rsid w:val="006A06F6"/>
    <w:rsid w:val="006A1381"/>
    <w:rsid w:val="006A1456"/>
    <w:rsid w:val="006A217B"/>
    <w:rsid w:val="006A22F4"/>
    <w:rsid w:val="006A2692"/>
    <w:rsid w:val="006A71A1"/>
    <w:rsid w:val="006A7A5F"/>
    <w:rsid w:val="006B0009"/>
    <w:rsid w:val="006B0DF7"/>
    <w:rsid w:val="006B5B2F"/>
    <w:rsid w:val="006C5944"/>
    <w:rsid w:val="006C61DA"/>
    <w:rsid w:val="006D120D"/>
    <w:rsid w:val="006D159D"/>
    <w:rsid w:val="006D1893"/>
    <w:rsid w:val="006D20F5"/>
    <w:rsid w:val="006D2443"/>
    <w:rsid w:val="006D3583"/>
    <w:rsid w:val="006D3A36"/>
    <w:rsid w:val="006D3B9C"/>
    <w:rsid w:val="006D3FC2"/>
    <w:rsid w:val="006D401A"/>
    <w:rsid w:val="006D4320"/>
    <w:rsid w:val="006D436A"/>
    <w:rsid w:val="006D4890"/>
    <w:rsid w:val="006E0C6F"/>
    <w:rsid w:val="006E1C2A"/>
    <w:rsid w:val="006E5153"/>
    <w:rsid w:val="006E5A13"/>
    <w:rsid w:val="006E5C87"/>
    <w:rsid w:val="006F051D"/>
    <w:rsid w:val="006F0A3A"/>
    <w:rsid w:val="006F1D46"/>
    <w:rsid w:val="006F433A"/>
    <w:rsid w:val="006F4BB3"/>
    <w:rsid w:val="006F51B3"/>
    <w:rsid w:val="006F6704"/>
    <w:rsid w:val="00704D89"/>
    <w:rsid w:val="00705DD2"/>
    <w:rsid w:val="00706770"/>
    <w:rsid w:val="00710D60"/>
    <w:rsid w:val="00712069"/>
    <w:rsid w:val="0071683B"/>
    <w:rsid w:val="0071692F"/>
    <w:rsid w:val="00720220"/>
    <w:rsid w:val="00720A73"/>
    <w:rsid w:val="00720F95"/>
    <w:rsid w:val="007220E7"/>
    <w:rsid w:val="00725DD4"/>
    <w:rsid w:val="00726B9B"/>
    <w:rsid w:val="00732133"/>
    <w:rsid w:val="00737EEA"/>
    <w:rsid w:val="007425A8"/>
    <w:rsid w:val="00743EBF"/>
    <w:rsid w:val="007447D0"/>
    <w:rsid w:val="0074648B"/>
    <w:rsid w:val="007469D3"/>
    <w:rsid w:val="0074777F"/>
    <w:rsid w:val="0075148A"/>
    <w:rsid w:val="00754732"/>
    <w:rsid w:val="00754762"/>
    <w:rsid w:val="00755957"/>
    <w:rsid w:val="00755BED"/>
    <w:rsid w:val="00755D84"/>
    <w:rsid w:val="007568AB"/>
    <w:rsid w:val="00757FDE"/>
    <w:rsid w:val="00760824"/>
    <w:rsid w:val="0076175B"/>
    <w:rsid w:val="007619D2"/>
    <w:rsid w:val="00762213"/>
    <w:rsid w:val="00763808"/>
    <w:rsid w:val="00763C55"/>
    <w:rsid w:val="00767426"/>
    <w:rsid w:val="00767C2B"/>
    <w:rsid w:val="00774C7F"/>
    <w:rsid w:val="00774F3A"/>
    <w:rsid w:val="00775A83"/>
    <w:rsid w:val="007775B6"/>
    <w:rsid w:val="0077760E"/>
    <w:rsid w:val="00781995"/>
    <w:rsid w:val="00782F87"/>
    <w:rsid w:val="007854D4"/>
    <w:rsid w:val="00786396"/>
    <w:rsid w:val="00786CC4"/>
    <w:rsid w:val="007924EB"/>
    <w:rsid w:val="007934F2"/>
    <w:rsid w:val="007954D0"/>
    <w:rsid w:val="007965BB"/>
    <w:rsid w:val="0079720A"/>
    <w:rsid w:val="007A1C20"/>
    <w:rsid w:val="007A573A"/>
    <w:rsid w:val="007A778C"/>
    <w:rsid w:val="007B0826"/>
    <w:rsid w:val="007B0833"/>
    <w:rsid w:val="007B0A9E"/>
    <w:rsid w:val="007B3866"/>
    <w:rsid w:val="007B4C6F"/>
    <w:rsid w:val="007B4FE6"/>
    <w:rsid w:val="007B79B3"/>
    <w:rsid w:val="007C0CA7"/>
    <w:rsid w:val="007C0F42"/>
    <w:rsid w:val="007C1B47"/>
    <w:rsid w:val="007C1C50"/>
    <w:rsid w:val="007C207A"/>
    <w:rsid w:val="007C293C"/>
    <w:rsid w:val="007C34AB"/>
    <w:rsid w:val="007C3627"/>
    <w:rsid w:val="007C42D1"/>
    <w:rsid w:val="007C6D8D"/>
    <w:rsid w:val="007D1456"/>
    <w:rsid w:val="007D1787"/>
    <w:rsid w:val="007D1B9A"/>
    <w:rsid w:val="007D399A"/>
    <w:rsid w:val="007D56F6"/>
    <w:rsid w:val="007E0518"/>
    <w:rsid w:val="007E086C"/>
    <w:rsid w:val="007E200E"/>
    <w:rsid w:val="007E33AC"/>
    <w:rsid w:val="007E5E26"/>
    <w:rsid w:val="007F01CD"/>
    <w:rsid w:val="007F22C6"/>
    <w:rsid w:val="007F2EEB"/>
    <w:rsid w:val="007F6755"/>
    <w:rsid w:val="00800F96"/>
    <w:rsid w:val="0080131C"/>
    <w:rsid w:val="008028EC"/>
    <w:rsid w:val="00806636"/>
    <w:rsid w:val="0080683A"/>
    <w:rsid w:val="00810565"/>
    <w:rsid w:val="00813DD0"/>
    <w:rsid w:val="0081466A"/>
    <w:rsid w:val="008206CD"/>
    <w:rsid w:val="008208DD"/>
    <w:rsid w:val="00824D0C"/>
    <w:rsid w:val="00824DD2"/>
    <w:rsid w:val="00825417"/>
    <w:rsid w:val="00827601"/>
    <w:rsid w:val="00827A61"/>
    <w:rsid w:val="0083073B"/>
    <w:rsid w:val="0083261B"/>
    <w:rsid w:val="00832DD4"/>
    <w:rsid w:val="0083394D"/>
    <w:rsid w:val="00836CBB"/>
    <w:rsid w:val="008400A7"/>
    <w:rsid w:val="0084342D"/>
    <w:rsid w:val="008435B2"/>
    <w:rsid w:val="008435F3"/>
    <w:rsid w:val="008447CE"/>
    <w:rsid w:val="00845DFC"/>
    <w:rsid w:val="00845FA4"/>
    <w:rsid w:val="008462F0"/>
    <w:rsid w:val="00850B70"/>
    <w:rsid w:val="00851FE9"/>
    <w:rsid w:val="00852FF8"/>
    <w:rsid w:val="0085462A"/>
    <w:rsid w:val="00856899"/>
    <w:rsid w:val="00856F81"/>
    <w:rsid w:val="0086326B"/>
    <w:rsid w:val="00864127"/>
    <w:rsid w:val="0086475B"/>
    <w:rsid w:val="0087218E"/>
    <w:rsid w:val="00874687"/>
    <w:rsid w:val="008802C3"/>
    <w:rsid w:val="00880339"/>
    <w:rsid w:val="00880A95"/>
    <w:rsid w:val="008827D6"/>
    <w:rsid w:val="008829F7"/>
    <w:rsid w:val="008834C9"/>
    <w:rsid w:val="00886EE8"/>
    <w:rsid w:val="00895AE5"/>
    <w:rsid w:val="00897D1D"/>
    <w:rsid w:val="008A0301"/>
    <w:rsid w:val="008A2D2A"/>
    <w:rsid w:val="008A3310"/>
    <w:rsid w:val="008B0D49"/>
    <w:rsid w:val="008B19BB"/>
    <w:rsid w:val="008B3905"/>
    <w:rsid w:val="008B4E4B"/>
    <w:rsid w:val="008B51DC"/>
    <w:rsid w:val="008B52B7"/>
    <w:rsid w:val="008B571C"/>
    <w:rsid w:val="008B762F"/>
    <w:rsid w:val="008C1FC5"/>
    <w:rsid w:val="008C341B"/>
    <w:rsid w:val="008C4743"/>
    <w:rsid w:val="008C6EE5"/>
    <w:rsid w:val="008D01FC"/>
    <w:rsid w:val="008D1A77"/>
    <w:rsid w:val="008D5021"/>
    <w:rsid w:val="008D6014"/>
    <w:rsid w:val="008D7EDE"/>
    <w:rsid w:val="008E0BA8"/>
    <w:rsid w:val="008E27C4"/>
    <w:rsid w:val="008E280A"/>
    <w:rsid w:val="008E3ED1"/>
    <w:rsid w:val="008E42E9"/>
    <w:rsid w:val="008E6A08"/>
    <w:rsid w:val="008E6F70"/>
    <w:rsid w:val="008F0A6B"/>
    <w:rsid w:val="008F2669"/>
    <w:rsid w:val="008F27CD"/>
    <w:rsid w:val="008F3E6B"/>
    <w:rsid w:val="009012E7"/>
    <w:rsid w:val="009036AE"/>
    <w:rsid w:val="0090500C"/>
    <w:rsid w:val="00905A64"/>
    <w:rsid w:val="00911C5A"/>
    <w:rsid w:val="009136D8"/>
    <w:rsid w:val="0091436C"/>
    <w:rsid w:val="00914D7D"/>
    <w:rsid w:val="009159E1"/>
    <w:rsid w:val="00920657"/>
    <w:rsid w:val="00920C53"/>
    <w:rsid w:val="0092484B"/>
    <w:rsid w:val="00925815"/>
    <w:rsid w:val="00925ABC"/>
    <w:rsid w:val="00927323"/>
    <w:rsid w:val="009277AC"/>
    <w:rsid w:val="009300E6"/>
    <w:rsid w:val="009312E9"/>
    <w:rsid w:val="00931739"/>
    <w:rsid w:val="009346BB"/>
    <w:rsid w:val="009353A4"/>
    <w:rsid w:val="00941035"/>
    <w:rsid w:val="009426CA"/>
    <w:rsid w:val="009428AE"/>
    <w:rsid w:val="00944F50"/>
    <w:rsid w:val="00945491"/>
    <w:rsid w:val="00946D71"/>
    <w:rsid w:val="00947B4B"/>
    <w:rsid w:val="00947E83"/>
    <w:rsid w:val="00952603"/>
    <w:rsid w:val="00953010"/>
    <w:rsid w:val="00953088"/>
    <w:rsid w:val="00953627"/>
    <w:rsid w:val="009541B0"/>
    <w:rsid w:val="009542AB"/>
    <w:rsid w:val="009574FA"/>
    <w:rsid w:val="0096061B"/>
    <w:rsid w:val="00962883"/>
    <w:rsid w:val="009666A8"/>
    <w:rsid w:val="009705C1"/>
    <w:rsid w:val="009712CB"/>
    <w:rsid w:val="0097175A"/>
    <w:rsid w:val="00972B83"/>
    <w:rsid w:val="0097350F"/>
    <w:rsid w:val="00974C90"/>
    <w:rsid w:val="009754CE"/>
    <w:rsid w:val="009757F1"/>
    <w:rsid w:val="009758CC"/>
    <w:rsid w:val="0097651F"/>
    <w:rsid w:val="00980691"/>
    <w:rsid w:val="00980979"/>
    <w:rsid w:val="009827A2"/>
    <w:rsid w:val="00983149"/>
    <w:rsid w:val="009844B6"/>
    <w:rsid w:val="009858AD"/>
    <w:rsid w:val="009863F5"/>
    <w:rsid w:val="0098690E"/>
    <w:rsid w:val="009901BB"/>
    <w:rsid w:val="00991E04"/>
    <w:rsid w:val="00992783"/>
    <w:rsid w:val="00993EB7"/>
    <w:rsid w:val="00996392"/>
    <w:rsid w:val="00997566"/>
    <w:rsid w:val="009A1485"/>
    <w:rsid w:val="009A21DB"/>
    <w:rsid w:val="009A2989"/>
    <w:rsid w:val="009A33FF"/>
    <w:rsid w:val="009A49BC"/>
    <w:rsid w:val="009A64A0"/>
    <w:rsid w:val="009A686B"/>
    <w:rsid w:val="009B0B77"/>
    <w:rsid w:val="009B3F7F"/>
    <w:rsid w:val="009B6CC2"/>
    <w:rsid w:val="009B72D6"/>
    <w:rsid w:val="009C00BE"/>
    <w:rsid w:val="009C0315"/>
    <w:rsid w:val="009C0619"/>
    <w:rsid w:val="009C0D7F"/>
    <w:rsid w:val="009C2B34"/>
    <w:rsid w:val="009C3C79"/>
    <w:rsid w:val="009C598C"/>
    <w:rsid w:val="009C5A64"/>
    <w:rsid w:val="009C61BC"/>
    <w:rsid w:val="009D065C"/>
    <w:rsid w:val="009D0C5A"/>
    <w:rsid w:val="009D2E6A"/>
    <w:rsid w:val="009D2F61"/>
    <w:rsid w:val="009D3690"/>
    <w:rsid w:val="009D47A2"/>
    <w:rsid w:val="009D7253"/>
    <w:rsid w:val="009D7E5C"/>
    <w:rsid w:val="009E151D"/>
    <w:rsid w:val="009E4CBA"/>
    <w:rsid w:val="009E4DE7"/>
    <w:rsid w:val="009E58BF"/>
    <w:rsid w:val="009E5C05"/>
    <w:rsid w:val="009F00A3"/>
    <w:rsid w:val="009F0B06"/>
    <w:rsid w:val="009F103C"/>
    <w:rsid w:val="009F29E1"/>
    <w:rsid w:val="009F444D"/>
    <w:rsid w:val="009F56A0"/>
    <w:rsid w:val="009F5841"/>
    <w:rsid w:val="009F61F1"/>
    <w:rsid w:val="00A007A9"/>
    <w:rsid w:val="00A01967"/>
    <w:rsid w:val="00A03270"/>
    <w:rsid w:val="00A0335E"/>
    <w:rsid w:val="00A0431A"/>
    <w:rsid w:val="00A04CBD"/>
    <w:rsid w:val="00A05CC2"/>
    <w:rsid w:val="00A06225"/>
    <w:rsid w:val="00A115DA"/>
    <w:rsid w:val="00A17E28"/>
    <w:rsid w:val="00A208FC"/>
    <w:rsid w:val="00A21B11"/>
    <w:rsid w:val="00A22279"/>
    <w:rsid w:val="00A228A1"/>
    <w:rsid w:val="00A25607"/>
    <w:rsid w:val="00A25BAA"/>
    <w:rsid w:val="00A345C0"/>
    <w:rsid w:val="00A348E4"/>
    <w:rsid w:val="00A34CA1"/>
    <w:rsid w:val="00A361F7"/>
    <w:rsid w:val="00A404D9"/>
    <w:rsid w:val="00A40CCF"/>
    <w:rsid w:val="00A428C4"/>
    <w:rsid w:val="00A430B5"/>
    <w:rsid w:val="00A43114"/>
    <w:rsid w:val="00A44701"/>
    <w:rsid w:val="00A44CB3"/>
    <w:rsid w:val="00A45E7C"/>
    <w:rsid w:val="00A4740B"/>
    <w:rsid w:val="00A508E6"/>
    <w:rsid w:val="00A53312"/>
    <w:rsid w:val="00A539C3"/>
    <w:rsid w:val="00A54026"/>
    <w:rsid w:val="00A56673"/>
    <w:rsid w:val="00A60288"/>
    <w:rsid w:val="00A6084F"/>
    <w:rsid w:val="00A62EB3"/>
    <w:rsid w:val="00A6590C"/>
    <w:rsid w:val="00A65B98"/>
    <w:rsid w:val="00A70289"/>
    <w:rsid w:val="00A71F83"/>
    <w:rsid w:val="00A7489D"/>
    <w:rsid w:val="00A752A0"/>
    <w:rsid w:val="00A7621D"/>
    <w:rsid w:val="00A81041"/>
    <w:rsid w:val="00A82B3A"/>
    <w:rsid w:val="00A82EE3"/>
    <w:rsid w:val="00A83649"/>
    <w:rsid w:val="00A93198"/>
    <w:rsid w:val="00A972FC"/>
    <w:rsid w:val="00AA26EA"/>
    <w:rsid w:val="00AA2869"/>
    <w:rsid w:val="00AA5D8F"/>
    <w:rsid w:val="00AA679D"/>
    <w:rsid w:val="00AA6F07"/>
    <w:rsid w:val="00AA767F"/>
    <w:rsid w:val="00AA776C"/>
    <w:rsid w:val="00AB2B98"/>
    <w:rsid w:val="00AB2F9F"/>
    <w:rsid w:val="00AB4310"/>
    <w:rsid w:val="00AB59CD"/>
    <w:rsid w:val="00AB5EB9"/>
    <w:rsid w:val="00AB68E2"/>
    <w:rsid w:val="00AC023B"/>
    <w:rsid w:val="00AC079B"/>
    <w:rsid w:val="00AC1C8F"/>
    <w:rsid w:val="00AC27C1"/>
    <w:rsid w:val="00AC5ACE"/>
    <w:rsid w:val="00AC6A1D"/>
    <w:rsid w:val="00AC6ED8"/>
    <w:rsid w:val="00AC74CE"/>
    <w:rsid w:val="00AC7CD6"/>
    <w:rsid w:val="00AC7DF2"/>
    <w:rsid w:val="00AD0446"/>
    <w:rsid w:val="00AD048E"/>
    <w:rsid w:val="00AD0F58"/>
    <w:rsid w:val="00AD2463"/>
    <w:rsid w:val="00AD2ACD"/>
    <w:rsid w:val="00AD4363"/>
    <w:rsid w:val="00AD56AE"/>
    <w:rsid w:val="00AE040A"/>
    <w:rsid w:val="00AE098B"/>
    <w:rsid w:val="00AE155C"/>
    <w:rsid w:val="00AE2340"/>
    <w:rsid w:val="00AE378F"/>
    <w:rsid w:val="00AE7B4D"/>
    <w:rsid w:val="00AF3E07"/>
    <w:rsid w:val="00AF58A2"/>
    <w:rsid w:val="00AF5F00"/>
    <w:rsid w:val="00B0001E"/>
    <w:rsid w:val="00B00316"/>
    <w:rsid w:val="00B13499"/>
    <w:rsid w:val="00B13787"/>
    <w:rsid w:val="00B16558"/>
    <w:rsid w:val="00B16897"/>
    <w:rsid w:val="00B21942"/>
    <w:rsid w:val="00B24679"/>
    <w:rsid w:val="00B25D9E"/>
    <w:rsid w:val="00B273D4"/>
    <w:rsid w:val="00B27555"/>
    <w:rsid w:val="00B27FDC"/>
    <w:rsid w:val="00B3273C"/>
    <w:rsid w:val="00B32AC8"/>
    <w:rsid w:val="00B3310E"/>
    <w:rsid w:val="00B335F4"/>
    <w:rsid w:val="00B33EC2"/>
    <w:rsid w:val="00B36074"/>
    <w:rsid w:val="00B36F9C"/>
    <w:rsid w:val="00B42464"/>
    <w:rsid w:val="00B4280A"/>
    <w:rsid w:val="00B44525"/>
    <w:rsid w:val="00B459D4"/>
    <w:rsid w:val="00B504EC"/>
    <w:rsid w:val="00B50DB3"/>
    <w:rsid w:val="00B51ADA"/>
    <w:rsid w:val="00B53787"/>
    <w:rsid w:val="00B55496"/>
    <w:rsid w:val="00B62986"/>
    <w:rsid w:val="00B62BC6"/>
    <w:rsid w:val="00B66C26"/>
    <w:rsid w:val="00B7042A"/>
    <w:rsid w:val="00B70DCC"/>
    <w:rsid w:val="00B7112C"/>
    <w:rsid w:val="00B71E4D"/>
    <w:rsid w:val="00B728E3"/>
    <w:rsid w:val="00B7425E"/>
    <w:rsid w:val="00B75440"/>
    <w:rsid w:val="00B76045"/>
    <w:rsid w:val="00B76AA6"/>
    <w:rsid w:val="00B80ADA"/>
    <w:rsid w:val="00B817C6"/>
    <w:rsid w:val="00B81EB7"/>
    <w:rsid w:val="00B86039"/>
    <w:rsid w:val="00B868E8"/>
    <w:rsid w:val="00B86BFD"/>
    <w:rsid w:val="00B87903"/>
    <w:rsid w:val="00B87C15"/>
    <w:rsid w:val="00B87C60"/>
    <w:rsid w:val="00B91F35"/>
    <w:rsid w:val="00B92394"/>
    <w:rsid w:val="00B97D8A"/>
    <w:rsid w:val="00BA052F"/>
    <w:rsid w:val="00BA053E"/>
    <w:rsid w:val="00BA197C"/>
    <w:rsid w:val="00BA20E2"/>
    <w:rsid w:val="00BA6079"/>
    <w:rsid w:val="00BA725A"/>
    <w:rsid w:val="00BB1FB4"/>
    <w:rsid w:val="00BB2040"/>
    <w:rsid w:val="00BB2451"/>
    <w:rsid w:val="00BB27B9"/>
    <w:rsid w:val="00BB38BB"/>
    <w:rsid w:val="00BB6279"/>
    <w:rsid w:val="00BB6FF4"/>
    <w:rsid w:val="00BB72A7"/>
    <w:rsid w:val="00BC17A0"/>
    <w:rsid w:val="00BC51C2"/>
    <w:rsid w:val="00BC5793"/>
    <w:rsid w:val="00BD01C9"/>
    <w:rsid w:val="00BD02A3"/>
    <w:rsid w:val="00BD1439"/>
    <w:rsid w:val="00BD5609"/>
    <w:rsid w:val="00BD5C17"/>
    <w:rsid w:val="00BD65BB"/>
    <w:rsid w:val="00BE16EA"/>
    <w:rsid w:val="00BE2CE4"/>
    <w:rsid w:val="00BE2D0E"/>
    <w:rsid w:val="00BE3530"/>
    <w:rsid w:val="00BE45B8"/>
    <w:rsid w:val="00BE4769"/>
    <w:rsid w:val="00BE4921"/>
    <w:rsid w:val="00BE5170"/>
    <w:rsid w:val="00BF1609"/>
    <w:rsid w:val="00BF175E"/>
    <w:rsid w:val="00BF2DF6"/>
    <w:rsid w:val="00BF3708"/>
    <w:rsid w:val="00BF647E"/>
    <w:rsid w:val="00BF710A"/>
    <w:rsid w:val="00C00CC7"/>
    <w:rsid w:val="00C0231E"/>
    <w:rsid w:val="00C02581"/>
    <w:rsid w:val="00C0419F"/>
    <w:rsid w:val="00C04AF5"/>
    <w:rsid w:val="00C04E41"/>
    <w:rsid w:val="00C04FA8"/>
    <w:rsid w:val="00C067C8"/>
    <w:rsid w:val="00C07AD3"/>
    <w:rsid w:val="00C07EB3"/>
    <w:rsid w:val="00C109F3"/>
    <w:rsid w:val="00C129A3"/>
    <w:rsid w:val="00C179E7"/>
    <w:rsid w:val="00C23D88"/>
    <w:rsid w:val="00C23F8F"/>
    <w:rsid w:val="00C250FF"/>
    <w:rsid w:val="00C26FBD"/>
    <w:rsid w:val="00C270DF"/>
    <w:rsid w:val="00C300FF"/>
    <w:rsid w:val="00C32470"/>
    <w:rsid w:val="00C35385"/>
    <w:rsid w:val="00C357E6"/>
    <w:rsid w:val="00C36BD5"/>
    <w:rsid w:val="00C40EC4"/>
    <w:rsid w:val="00C42176"/>
    <w:rsid w:val="00C434F3"/>
    <w:rsid w:val="00C465ED"/>
    <w:rsid w:val="00C52296"/>
    <w:rsid w:val="00C55839"/>
    <w:rsid w:val="00C560C3"/>
    <w:rsid w:val="00C6300D"/>
    <w:rsid w:val="00C63EC6"/>
    <w:rsid w:val="00C63FF5"/>
    <w:rsid w:val="00C641AC"/>
    <w:rsid w:val="00C76373"/>
    <w:rsid w:val="00C80693"/>
    <w:rsid w:val="00C81CD6"/>
    <w:rsid w:val="00C8211D"/>
    <w:rsid w:val="00C855B5"/>
    <w:rsid w:val="00C8622A"/>
    <w:rsid w:val="00C8661C"/>
    <w:rsid w:val="00C8785B"/>
    <w:rsid w:val="00C87B1A"/>
    <w:rsid w:val="00C91F62"/>
    <w:rsid w:val="00C925F1"/>
    <w:rsid w:val="00C92722"/>
    <w:rsid w:val="00C93198"/>
    <w:rsid w:val="00C949BC"/>
    <w:rsid w:val="00C97EA3"/>
    <w:rsid w:val="00CA1049"/>
    <w:rsid w:val="00CA1AAF"/>
    <w:rsid w:val="00CA1F04"/>
    <w:rsid w:val="00CA2B12"/>
    <w:rsid w:val="00CA4C37"/>
    <w:rsid w:val="00CA4C6A"/>
    <w:rsid w:val="00CA5F2A"/>
    <w:rsid w:val="00CB0357"/>
    <w:rsid w:val="00CB1604"/>
    <w:rsid w:val="00CB31FC"/>
    <w:rsid w:val="00CB321B"/>
    <w:rsid w:val="00CB32B3"/>
    <w:rsid w:val="00CB4868"/>
    <w:rsid w:val="00CB48F5"/>
    <w:rsid w:val="00CB55DA"/>
    <w:rsid w:val="00CB6291"/>
    <w:rsid w:val="00CB670F"/>
    <w:rsid w:val="00CB69E9"/>
    <w:rsid w:val="00CC39F1"/>
    <w:rsid w:val="00CC4703"/>
    <w:rsid w:val="00CC4BD7"/>
    <w:rsid w:val="00CC5F0D"/>
    <w:rsid w:val="00CC64CF"/>
    <w:rsid w:val="00CC6D0E"/>
    <w:rsid w:val="00CC7C96"/>
    <w:rsid w:val="00CD0BAD"/>
    <w:rsid w:val="00CD0E08"/>
    <w:rsid w:val="00CD0F88"/>
    <w:rsid w:val="00CD41A4"/>
    <w:rsid w:val="00CD4E88"/>
    <w:rsid w:val="00CD6256"/>
    <w:rsid w:val="00CD6BD8"/>
    <w:rsid w:val="00CD75BA"/>
    <w:rsid w:val="00CE2B52"/>
    <w:rsid w:val="00CE2DF2"/>
    <w:rsid w:val="00CE3D94"/>
    <w:rsid w:val="00CE5B30"/>
    <w:rsid w:val="00CE7266"/>
    <w:rsid w:val="00CF0D1E"/>
    <w:rsid w:val="00CF0F69"/>
    <w:rsid w:val="00CF3EEF"/>
    <w:rsid w:val="00CF411A"/>
    <w:rsid w:val="00CF43D2"/>
    <w:rsid w:val="00CF4A37"/>
    <w:rsid w:val="00CF50ED"/>
    <w:rsid w:val="00D00ACA"/>
    <w:rsid w:val="00D01D80"/>
    <w:rsid w:val="00D0232D"/>
    <w:rsid w:val="00D03607"/>
    <w:rsid w:val="00D06674"/>
    <w:rsid w:val="00D12A20"/>
    <w:rsid w:val="00D14030"/>
    <w:rsid w:val="00D1534D"/>
    <w:rsid w:val="00D163DB"/>
    <w:rsid w:val="00D171CB"/>
    <w:rsid w:val="00D17936"/>
    <w:rsid w:val="00D21AD0"/>
    <w:rsid w:val="00D22059"/>
    <w:rsid w:val="00D22B41"/>
    <w:rsid w:val="00D232F2"/>
    <w:rsid w:val="00D24B78"/>
    <w:rsid w:val="00D25C54"/>
    <w:rsid w:val="00D31355"/>
    <w:rsid w:val="00D31ADF"/>
    <w:rsid w:val="00D328C1"/>
    <w:rsid w:val="00D34B18"/>
    <w:rsid w:val="00D35611"/>
    <w:rsid w:val="00D36B56"/>
    <w:rsid w:val="00D403F5"/>
    <w:rsid w:val="00D42A56"/>
    <w:rsid w:val="00D432F2"/>
    <w:rsid w:val="00D45363"/>
    <w:rsid w:val="00D46538"/>
    <w:rsid w:val="00D46B2F"/>
    <w:rsid w:val="00D47CF8"/>
    <w:rsid w:val="00D50749"/>
    <w:rsid w:val="00D5363B"/>
    <w:rsid w:val="00D53E43"/>
    <w:rsid w:val="00D54A6C"/>
    <w:rsid w:val="00D55473"/>
    <w:rsid w:val="00D57150"/>
    <w:rsid w:val="00D658BF"/>
    <w:rsid w:val="00D663CA"/>
    <w:rsid w:val="00D7244B"/>
    <w:rsid w:val="00D72D0D"/>
    <w:rsid w:val="00D7303A"/>
    <w:rsid w:val="00D742AE"/>
    <w:rsid w:val="00D75432"/>
    <w:rsid w:val="00D75892"/>
    <w:rsid w:val="00D758CF"/>
    <w:rsid w:val="00D762DD"/>
    <w:rsid w:val="00D8297C"/>
    <w:rsid w:val="00D83FDD"/>
    <w:rsid w:val="00D840F6"/>
    <w:rsid w:val="00D84504"/>
    <w:rsid w:val="00D84911"/>
    <w:rsid w:val="00D85CEA"/>
    <w:rsid w:val="00D90021"/>
    <w:rsid w:val="00D90092"/>
    <w:rsid w:val="00D91048"/>
    <w:rsid w:val="00D914BB"/>
    <w:rsid w:val="00D9210D"/>
    <w:rsid w:val="00D92AAD"/>
    <w:rsid w:val="00D92F8D"/>
    <w:rsid w:val="00D93F66"/>
    <w:rsid w:val="00D96D40"/>
    <w:rsid w:val="00D96F15"/>
    <w:rsid w:val="00DA300C"/>
    <w:rsid w:val="00DA6699"/>
    <w:rsid w:val="00DA7D13"/>
    <w:rsid w:val="00DB039F"/>
    <w:rsid w:val="00DB1712"/>
    <w:rsid w:val="00DB2A79"/>
    <w:rsid w:val="00DB430D"/>
    <w:rsid w:val="00DB5DAA"/>
    <w:rsid w:val="00DC0B5C"/>
    <w:rsid w:val="00DC2536"/>
    <w:rsid w:val="00DC2905"/>
    <w:rsid w:val="00DC4330"/>
    <w:rsid w:val="00DC4C5C"/>
    <w:rsid w:val="00DC4DFF"/>
    <w:rsid w:val="00DC52C4"/>
    <w:rsid w:val="00DC71F1"/>
    <w:rsid w:val="00DC727D"/>
    <w:rsid w:val="00DC761F"/>
    <w:rsid w:val="00DC7E58"/>
    <w:rsid w:val="00DD06F3"/>
    <w:rsid w:val="00DD204B"/>
    <w:rsid w:val="00DD5A85"/>
    <w:rsid w:val="00DD5ED0"/>
    <w:rsid w:val="00DD7F30"/>
    <w:rsid w:val="00DE2B43"/>
    <w:rsid w:val="00DE3C57"/>
    <w:rsid w:val="00DE5587"/>
    <w:rsid w:val="00DE6B8A"/>
    <w:rsid w:val="00DE7D83"/>
    <w:rsid w:val="00DF1A8E"/>
    <w:rsid w:val="00DF4C96"/>
    <w:rsid w:val="00DF562B"/>
    <w:rsid w:val="00E00422"/>
    <w:rsid w:val="00E035A2"/>
    <w:rsid w:val="00E04848"/>
    <w:rsid w:val="00E12678"/>
    <w:rsid w:val="00E16BFA"/>
    <w:rsid w:val="00E22F4E"/>
    <w:rsid w:val="00E23E01"/>
    <w:rsid w:val="00E25129"/>
    <w:rsid w:val="00E2565C"/>
    <w:rsid w:val="00E26717"/>
    <w:rsid w:val="00E269F2"/>
    <w:rsid w:val="00E30C69"/>
    <w:rsid w:val="00E31A0E"/>
    <w:rsid w:val="00E33F83"/>
    <w:rsid w:val="00E34101"/>
    <w:rsid w:val="00E42592"/>
    <w:rsid w:val="00E43D0B"/>
    <w:rsid w:val="00E43FCF"/>
    <w:rsid w:val="00E45B3C"/>
    <w:rsid w:val="00E4681B"/>
    <w:rsid w:val="00E506EC"/>
    <w:rsid w:val="00E55AE2"/>
    <w:rsid w:val="00E5656F"/>
    <w:rsid w:val="00E611E8"/>
    <w:rsid w:val="00E61421"/>
    <w:rsid w:val="00E61B00"/>
    <w:rsid w:val="00E6249E"/>
    <w:rsid w:val="00E62C69"/>
    <w:rsid w:val="00E643B7"/>
    <w:rsid w:val="00E72696"/>
    <w:rsid w:val="00E72A6B"/>
    <w:rsid w:val="00E743B6"/>
    <w:rsid w:val="00E75874"/>
    <w:rsid w:val="00E764BE"/>
    <w:rsid w:val="00E76D02"/>
    <w:rsid w:val="00E812CE"/>
    <w:rsid w:val="00E82610"/>
    <w:rsid w:val="00E84197"/>
    <w:rsid w:val="00E863FB"/>
    <w:rsid w:val="00E9059F"/>
    <w:rsid w:val="00E90BC4"/>
    <w:rsid w:val="00E92536"/>
    <w:rsid w:val="00E93737"/>
    <w:rsid w:val="00E93BD6"/>
    <w:rsid w:val="00E95F78"/>
    <w:rsid w:val="00E96728"/>
    <w:rsid w:val="00E968C4"/>
    <w:rsid w:val="00E97BA3"/>
    <w:rsid w:val="00EA0B6A"/>
    <w:rsid w:val="00EA484B"/>
    <w:rsid w:val="00EA5B98"/>
    <w:rsid w:val="00EA5BB6"/>
    <w:rsid w:val="00EA67AF"/>
    <w:rsid w:val="00EB4486"/>
    <w:rsid w:val="00EB62C2"/>
    <w:rsid w:val="00EC07C5"/>
    <w:rsid w:val="00EC07F8"/>
    <w:rsid w:val="00EC1629"/>
    <w:rsid w:val="00EC1A46"/>
    <w:rsid w:val="00EC255D"/>
    <w:rsid w:val="00EC273B"/>
    <w:rsid w:val="00EC3180"/>
    <w:rsid w:val="00ED2EA5"/>
    <w:rsid w:val="00ED4610"/>
    <w:rsid w:val="00ED5036"/>
    <w:rsid w:val="00ED51BD"/>
    <w:rsid w:val="00ED540C"/>
    <w:rsid w:val="00ED6D6A"/>
    <w:rsid w:val="00EE032A"/>
    <w:rsid w:val="00EE26D7"/>
    <w:rsid w:val="00EE3707"/>
    <w:rsid w:val="00EE37EF"/>
    <w:rsid w:val="00EE4707"/>
    <w:rsid w:val="00EE71E9"/>
    <w:rsid w:val="00EE7259"/>
    <w:rsid w:val="00EF010D"/>
    <w:rsid w:val="00EF098B"/>
    <w:rsid w:val="00EF1F86"/>
    <w:rsid w:val="00EF3698"/>
    <w:rsid w:val="00EF407E"/>
    <w:rsid w:val="00EF4594"/>
    <w:rsid w:val="00EF5CED"/>
    <w:rsid w:val="00F06207"/>
    <w:rsid w:val="00F0719B"/>
    <w:rsid w:val="00F07C8B"/>
    <w:rsid w:val="00F11656"/>
    <w:rsid w:val="00F134EE"/>
    <w:rsid w:val="00F13EA8"/>
    <w:rsid w:val="00F17A84"/>
    <w:rsid w:val="00F17D2D"/>
    <w:rsid w:val="00F212CA"/>
    <w:rsid w:val="00F21453"/>
    <w:rsid w:val="00F21E8C"/>
    <w:rsid w:val="00F2443B"/>
    <w:rsid w:val="00F24EEA"/>
    <w:rsid w:val="00F25122"/>
    <w:rsid w:val="00F263B0"/>
    <w:rsid w:val="00F263B2"/>
    <w:rsid w:val="00F2640F"/>
    <w:rsid w:val="00F3005B"/>
    <w:rsid w:val="00F30304"/>
    <w:rsid w:val="00F329C7"/>
    <w:rsid w:val="00F34323"/>
    <w:rsid w:val="00F3461C"/>
    <w:rsid w:val="00F35458"/>
    <w:rsid w:val="00F37CBF"/>
    <w:rsid w:val="00F41ADC"/>
    <w:rsid w:val="00F42012"/>
    <w:rsid w:val="00F44910"/>
    <w:rsid w:val="00F458A6"/>
    <w:rsid w:val="00F552C3"/>
    <w:rsid w:val="00F55E44"/>
    <w:rsid w:val="00F55EB9"/>
    <w:rsid w:val="00F5714F"/>
    <w:rsid w:val="00F577C7"/>
    <w:rsid w:val="00F632D6"/>
    <w:rsid w:val="00F63754"/>
    <w:rsid w:val="00F64747"/>
    <w:rsid w:val="00F66AF3"/>
    <w:rsid w:val="00F67960"/>
    <w:rsid w:val="00F7198E"/>
    <w:rsid w:val="00F722A5"/>
    <w:rsid w:val="00F73861"/>
    <w:rsid w:val="00F74B3E"/>
    <w:rsid w:val="00F74BF9"/>
    <w:rsid w:val="00F75D56"/>
    <w:rsid w:val="00F75E65"/>
    <w:rsid w:val="00F76CDD"/>
    <w:rsid w:val="00F83623"/>
    <w:rsid w:val="00F84E30"/>
    <w:rsid w:val="00F85301"/>
    <w:rsid w:val="00F862B2"/>
    <w:rsid w:val="00F864B4"/>
    <w:rsid w:val="00F87446"/>
    <w:rsid w:val="00F907D1"/>
    <w:rsid w:val="00F91732"/>
    <w:rsid w:val="00F91FBC"/>
    <w:rsid w:val="00F941A6"/>
    <w:rsid w:val="00F945BB"/>
    <w:rsid w:val="00F947EA"/>
    <w:rsid w:val="00F94C0D"/>
    <w:rsid w:val="00F954EA"/>
    <w:rsid w:val="00FA04A2"/>
    <w:rsid w:val="00FA057E"/>
    <w:rsid w:val="00FA09B5"/>
    <w:rsid w:val="00FA0B43"/>
    <w:rsid w:val="00FA31D8"/>
    <w:rsid w:val="00FA4099"/>
    <w:rsid w:val="00FA467C"/>
    <w:rsid w:val="00FA4EF4"/>
    <w:rsid w:val="00FB0756"/>
    <w:rsid w:val="00FB3222"/>
    <w:rsid w:val="00FC04E4"/>
    <w:rsid w:val="00FC08D3"/>
    <w:rsid w:val="00FC0A31"/>
    <w:rsid w:val="00FC18BD"/>
    <w:rsid w:val="00FC72E7"/>
    <w:rsid w:val="00FD0C19"/>
    <w:rsid w:val="00FD0E7C"/>
    <w:rsid w:val="00FD13C0"/>
    <w:rsid w:val="00FD193E"/>
    <w:rsid w:val="00FD29F7"/>
    <w:rsid w:val="00FD3CE9"/>
    <w:rsid w:val="00FD54AD"/>
    <w:rsid w:val="00FD5A17"/>
    <w:rsid w:val="00FE2A67"/>
    <w:rsid w:val="00FE30B3"/>
    <w:rsid w:val="00FE388D"/>
    <w:rsid w:val="00FE44B0"/>
    <w:rsid w:val="00FE4B09"/>
    <w:rsid w:val="00FE649B"/>
    <w:rsid w:val="00FE660A"/>
    <w:rsid w:val="00FE7EFA"/>
    <w:rsid w:val="00FF00DD"/>
    <w:rsid w:val="00FF075D"/>
    <w:rsid w:val="00FF1109"/>
    <w:rsid w:val="00FF1B0F"/>
    <w:rsid w:val="00FF2150"/>
    <w:rsid w:val="00FF345D"/>
    <w:rsid w:val="00FF3CFB"/>
    <w:rsid w:val="00FF3E0C"/>
    <w:rsid w:val="00FF5848"/>
    <w:rsid w:val="03C76963"/>
    <w:rsid w:val="043C747A"/>
    <w:rsid w:val="070C0411"/>
    <w:rsid w:val="0CA3441E"/>
    <w:rsid w:val="11717B53"/>
    <w:rsid w:val="1331527E"/>
    <w:rsid w:val="1C837DD6"/>
    <w:rsid w:val="20E70017"/>
    <w:rsid w:val="218F7ED9"/>
    <w:rsid w:val="2EF43B94"/>
    <w:rsid w:val="2F0C12ED"/>
    <w:rsid w:val="35076929"/>
    <w:rsid w:val="39B0468F"/>
    <w:rsid w:val="39B71BB1"/>
    <w:rsid w:val="3A3F2598"/>
    <w:rsid w:val="40F8619A"/>
    <w:rsid w:val="47BB08EF"/>
    <w:rsid w:val="4ABB3552"/>
    <w:rsid w:val="53357E62"/>
    <w:rsid w:val="59545919"/>
    <w:rsid w:val="596C0E8D"/>
    <w:rsid w:val="5EB4486C"/>
    <w:rsid w:val="67187756"/>
    <w:rsid w:val="695B2FFE"/>
    <w:rsid w:val="698311E0"/>
    <w:rsid w:val="6A677D19"/>
    <w:rsid w:val="70D60FE9"/>
    <w:rsid w:val="70D809EB"/>
    <w:rsid w:val="74827460"/>
    <w:rsid w:val="75015292"/>
    <w:rsid w:val="76BE730C"/>
    <w:rsid w:val="7A346CEF"/>
    <w:rsid w:val="7FB05A9B"/>
    <w:rsid w:val="7FFA2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link w:val="44"/>
    <w:qFormat/>
    <w:uiPriority w:val="0"/>
    <w:pPr>
      <w:keepNext/>
      <w:spacing w:after="240"/>
      <w:ind w:left="1985" w:right="284" w:hanging="1985"/>
      <w:outlineLvl w:val="0"/>
    </w:pPr>
    <w:rPr>
      <w:rFonts w:ascii="Arial" w:hAnsi="Arial"/>
      <w:b/>
      <w:sz w:val="24"/>
    </w:rPr>
  </w:style>
  <w:style w:type="paragraph" w:styleId="3">
    <w:name w:val="heading 2"/>
    <w:basedOn w:val="1"/>
    <w:next w:val="1"/>
    <w:link w:val="45"/>
    <w:qFormat/>
    <w:uiPriority w:val="0"/>
    <w:pPr>
      <w:keepNext/>
      <w:ind w:right="284"/>
      <w:outlineLvl w:val="1"/>
    </w:pPr>
    <w:rPr>
      <w:rFonts w:ascii="Arial" w:hAnsi="Arial"/>
      <w:b/>
      <w:sz w:val="24"/>
    </w:rPr>
  </w:style>
  <w:style w:type="paragraph" w:styleId="4">
    <w:name w:val="heading 3"/>
    <w:basedOn w:val="1"/>
    <w:next w:val="1"/>
    <w:link w:val="46"/>
    <w:qFormat/>
    <w:uiPriority w:val="0"/>
    <w:pPr>
      <w:keepNext/>
      <w:outlineLvl w:val="2"/>
    </w:pPr>
    <w:rPr>
      <w:sz w:val="24"/>
    </w:rPr>
  </w:style>
  <w:style w:type="paragraph" w:styleId="5">
    <w:name w:val="heading 4"/>
    <w:basedOn w:val="1"/>
    <w:next w:val="1"/>
    <w:link w:val="47"/>
    <w:qFormat/>
    <w:uiPriority w:val="0"/>
    <w:pPr>
      <w:keepNext/>
      <w:tabs>
        <w:tab w:val="left" w:pos="2694"/>
      </w:tabs>
      <w:ind w:left="708"/>
      <w:outlineLvl w:val="3"/>
    </w:pPr>
    <w:rPr>
      <w:rFonts w:ascii="Arial" w:hAnsi="Arial"/>
      <w:b/>
    </w:rPr>
  </w:style>
  <w:style w:type="paragraph" w:styleId="6">
    <w:name w:val="heading 5"/>
    <w:basedOn w:val="1"/>
    <w:next w:val="1"/>
    <w:link w:val="48"/>
    <w:qFormat/>
    <w:uiPriority w:val="0"/>
    <w:pPr>
      <w:keepNext/>
      <w:jc w:val="center"/>
      <w:outlineLvl w:val="4"/>
    </w:pPr>
    <w:rPr>
      <w:rFonts w:ascii="Arial" w:hAnsi="Arial"/>
      <w:b/>
      <w:sz w:val="24"/>
    </w:rPr>
  </w:style>
  <w:style w:type="paragraph" w:styleId="7">
    <w:name w:val="heading 6"/>
    <w:basedOn w:val="1"/>
    <w:next w:val="1"/>
    <w:link w:val="49"/>
    <w:qFormat/>
    <w:uiPriority w:val="0"/>
    <w:pPr>
      <w:keepNext/>
      <w:outlineLvl w:val="5"/>
    </w:pPr>
    <w:rPr>
      <w:rFonts w:ascii="Arial" w:hAnsi="Arial"/>
      <w:b/>
      <w:color w:val="C0C0C0"/>
      <w:sz w:val="24"/>
    </w:rPr>
  </w:style>
  <w:style w:type="paragraph" w:styleId="8">
    <w:name w:val="heading 7"/>
    <w:basedOn w:val="1"/>
    <w:next w:val="1"/>
    <w:link w:val="50"/>
    <w:qFormat/>
    <w:uiPriority w:val="0"/>
    <w:pPr>
      <w:keepNext/>
      <w:tabs>
        <w:tab w:val="left" w:pos="2694"/>
      </w:tabs>
      <w:ind w:left="708"/>
      <w:outlineLvl w:val="6"/>
    </w:pPr>
    <w:rPr>
      <w:rFonts w:ascii="Arial" w:hAnsi="Arial"/>
      <w:b/>
      <w:color w:val="0000FF"/>
    </w:rPr>
  </w:style>
  <w:style w:type="paragraph" w:styleId="9">
    <w:name w:val="heading 8"/>
    <w:basedOn w:val="1"/>
    <w:next w:val="1"/>
    <w:link w:val="51"/>
    <w:qFormat/>
    <w:uiPriority w:val="0"/>
    <w:pPr>
      <w:keepNext/>
      <w:spacing w:after="120"/>
      <w:ind w:left="1985" w:hanging="1985"/>
      <w:outlineLvl w:val="7"/>
    </w:pPr>
    <w:rPr>
      <w:rFonts w:ascii="Arial" w:hAnsi="Arial"/>
      <w:b/>
      <w:sz w:val="22"/>
    </w:rPr>
  </w:style>
  <w:style w:type="paragraph" w:styleId="10">
    <w:name w:val="heading 9"/>
    <w:basedOn w:val="1"/>
    <w:next w:val="1"/>
    <w:link w:val="52"/>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68"/>
    <w:qFormat/>
    <w:uiPriority w:val="0"/>
    <w:pPr>
      <w:autoSpaceDE w:val="0"/>
      <w:autoSpaceDN w:val="0"/>
      <w:adjustRightInd w:val="0"/>
      <w:snapToGrid w:val="0"/>
      <w:spacing w:after="120"/>
      <w:jc w:val="center"/>
    </w:pPr>
    <w:rPr>
      <w:rFonts w:eastAsia="宋体"/>
      <w:b/>
      <w:bCs/>
      <w:lang w:val="en-US"/>
    </w:rPr>
  </w:style>
  <w:style w:type="paragraph" w:styleId="12">
    <w:name w:val="annotation text"/>
    <w:basedOn w:val="1"/>
    <w:link w:val="33"/>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link w:val="55"/>
    <w:semiHidden/>
    <w:qFormat/>
    <w:uiPriority w:val="0"/>
    <w:rPr>
      <w:rFonts w:ascii="Arial" w:hAnsi="Arial" w:cs="Arial"/>
      <w:color w:val="FF0000"/>
    </w:rPr>
  </w:style>
  <w:style w:type="paragraph" w:styleId="14">
    <w:name w:val="Balloon Text"/>
    <w:basedOn w:val="1"/>
    <w:link w:val="32"/>
    <w:semiHidden/>
    <w:unhideWhenUsed/>
    <w:qFormat/>
    <w:uiPriority w:val="99"/>
    <w:rPr>
      <w:rFonts w:ascii="Segoe UI" w:hAnsi="Segoe UI" w:cs="Segoe UI"/>
      <w:sz w:val="18"/>
      <w:szCs w:val="18"/>
    </w:rPr>
  </w:style>
  <w:style w:type="paragraph" w:styleId="15">
    <w:name w:val="footer"/>
    <w:basedOn w:val="1"/>
    <w:link w:val="54"/>
    <w:semiHidden/>
    <w:qFormat/>
    <w:uiPriority w:val="0"/>
    <w:pPr>
      <w:tabs>
        <w:tab w:val="center" w:pos="4153"/>
        <w:tab w:val="right" w:pos="8306"/>
      </w:tabs>
    </w:pPr>
  </w:style>
  <w:style w:type="paragraph" w:styleId="16">
    <w:name w:val="header"/>
    <w:basedOn w:val="1"/>
    <w:link w:val="53"/>
    <w:qFormat/>
    <w:uiPriority w:val="0"/>
    <w:pPr>
      <w:tabs>
        <w:tab w:val="center" w:pos="4153"/>
        <w:tab w:val="right" w:pos="8306"/>
      </w:tabs>
    </w:pPr>
  </w:style>
  <w:style w:type="paragraph" w:styleId="17">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8">
    <w:name w:val="annotation subject"/>
    <w:basedOn w:val="12"/>
    <w:next w:val="12"/>
    <w:link w:val="34"/>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annotation reference"/>
    <w:semiHidden/>
    <w:qFormat/>
    <w:uiPriority w:val="0"/>
    <w:rPr>
      <w:sz w:val="16"/>
    </w:rPr>
  </w:style>
  <w:style w:type="paragraph" w:customStyle="1" w:styleId="24">
    <w:name w:val="B1"/>
    <w:basedOn w:val="1"/>
    <w:qFormat/>
    <w:uiPriority w:val="0"/>
    <w:pPr>
      <w:ind w:left="567" w:hanging="567"/>
      <w:jc w:val="both"/>
    </w:pPr>
    <w:rPr>
      <w:rFonts w:ascii="Arial" w:hAnsi="Arial"/>
    </w:rPr>
  </w:style>
  <w:style w:type="paragraph" w:customStyle="1" w:styleId="25">
    <w:name w:val="00 BodyText"/>
    <w:basedOn w:val="1"/>
    <w:qFormat/>
    <w:uiPriority w:val="0"/>
    <w:pPr>
      <w:spacing w:after="220"/>
    </w:pPr>
    <w:rPr>
      <w:rFonts w:ascii="Arial" w:hAnsi="Arial"/>
      <w:sz w:val="22"/>
      <w:lang w:val="en-US"/>
    </w:rPr>
  </w:style>
  <w:style w:type="paragraph" w:customStyle="1" w:styleId="26">
    <w:name w:val="??"/>
    <w:qFormat/>
    <w:uiPriority w:val="0"/>
    <w:pPr>
      <w:widowControl w:val="0"/>
    </w:pPr>
    <w:rPr>
      <w:rFonts w:ascii="Times New Roman" w:hAnsi="Times New Roman" w:eastAsia="等线" w:cs="Times New Roman"/>
      <w:lang w:val="en-US" w:eastAsia="en-US" w:bidi="ar-SA"/>
    </w:rPr>
  </w:style>
  <w:style w:type="paragraph" w:customStyle="1" w:styleId="27">
    <w:name w:val="??? 2"/>
    <w:basedOn w:val="26"/>
    <w:next w:val="26"/>
    <w:qFormat/>
    <w:uiPriority w:val="0"/>
    <w:pPr>
      <w:keepNext/>
    </w:pPr>
    <w:rPr>
      <w:rFonts w:ascii="Arial" w:hAnsi="Arial"/>
      <w:b/>
      <w:sz w:val="24"/>
    </w:rPr>
  </w:style>
  <w:style w:type="paragraph" w:customStyle="1" w:styleId="28">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9">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0">
    <w:name w:val="done"/>
    <w:basedOn w:val="29"/>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1">
    <w:name w:val="Not Done"/>
    <w:basedOn w:val="30"/>
    <w:qFormat/>
    <w:uiPriority w:val="0"/>
    <w:pPr>
      <w:numPr>
        <w:numId w:val="4"/>
      </w:numPr>
      <w:tabs>
        <w:tab w:val="left" w:pos="0"/>
      </w:tabs>
    </w:pPr>
    <w:rPr>
      <w:color w:val="FF0000"/>
    </w:rPr>
  </w:style>
  <w:style w:type="character" w:customStyle="1" w:styleId="32">
    <w:name w:val="批注框文本 字符"/>
    <w:link w:val="14"/>
    <w:semiHidden/>
    <w:qFormat/>
    <w:uiPriority w:val="99"/>
    <w:rPr>
      <w:rFonts w:ascii="Segoe UI" w:hAnsi="Segoe UI" w:cs="Segoe UI"/>
      <w:sz w:val="18"/>
      <w:szCs w:val="18"/>
      <w:lang w:eastAsia="en-US"/>
    </w:rPr>
  </w:style>
  <w:style w:type="character" w:customStyle="1" w:styleId="33">
    <w:name w:val="批注文字 字符"/>
    <w:link w:val="12"/>
    <w:semiHidden/>
    <w:qFormat/>
    <w:uiPriority w:val="0"/>
    <w:rPr>
      <w:rFonts w:ascii="Arial" w:hAnsi="Arial"/>
      <w:lang w:val="en-GB" w:eastAsia="en-US"/>
    </w:rPr>
  </w:style>
  <w:style w:type="character" w:customStyle="1" w:styleId="34">
    <w:name w:val="批注主题 字符"/>
    <w:link w:val="18"/>
    <w:semiHidden/>
    <w:qFormat/>
    <w:uiPriority w:val="99"/>
    <w:rPr>
      <w:rFonts w:ascii="Arial" w:hAnsi="Arial"/>
      <w:b/>
      <w:bCs/>
      <w:lang w:val="en-GB" w:eastAsia="en-US"/>
    </w:rPr>
  </w:style>
  <w:style w:type="paragraph" w:styleId="35">
    <w:name w:val="List Paragraph"/>
    <w:basedOn w:val="1"/>
    <w:link w:val="41"/>
    <w:qFormat/>
    <w:uiPriority w:val="34"/>
    <w:pPr>
      <w:widowControl w:val="0"/>
      <w:ind w:firstLine="420" w:firstLineChars="200"/>
      <w:jc w:val="both"/>
    </w:pPr>
    <w:rPr>
      <w:rFonts w:ascii="等线" w:hAnsi="等线"/>
      <w:kern w:val="2"/>
      <w:sz w:val="21"/>
      <w:szCs w:val="22"/>
      <w:lang w:val="en-US" w:eastAsia="zh-CN"/>
    </w:rPr>
  </w:style>
  <w:style w:type="paragraph" w:customStyle="1" w:styleId="36">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ascii="Times New Roman" w:hAnsi="Times New Roman" w:eastAsia="Malgun Gothic"/>
      <w:sz w:val="20"/>
      <w:u w:val="single"/>
      <w:lang w:val="en-US" w:eastAsia="zh-CN"/>
    </w:rPr>
  </w:style>
  <w:style w:type="paragraph" w:customStyle="1" w:styleId="37">
    <w:name w:val="TAC"/>
    <w:basedOn w:val="1"/>
    <w:link w:val="40"/>
    <w:qFormat/>
    <w:uiPriority w:val="0"/>
    <w:pPr>
      <w:keepNext/>
      <w:keepLines/>
      <w:jc w:val="center"/>
    </w:pPr>
    <w:rPr>
      <w:rFonts w:ascii="Arial" w:hAnsi="Arial" w:eastAsia="宋体"/>
      <w:sz w:val="18"/>
    </w:rPr>
  </w:style>
  <w:style w:type="paragraph" w:customStyle="1" w:styleId="38">
    <w:name w:val="TH"/>
    <w:basedOn w:val="1"/>
    <w:link w:val="39"/>
    <w:qFormat/>
    <w:uiPriority w:val="0"/>
    <w:pPr>
      <w:keepNext/>
      <w:keepLines/>
      <w:spacing w:before="60" w:after="180"/>
      <w:jc w:val="center"/>
    </w:pPr>
    <w:rPr>
      <w:rFonts w:ascii="Arial" w:hAnsi="Arial" w:eastAsia="宋体"/>
      <w:b/>
    </w:rPr>
  </w:style>
  <w:style w:type="character" w:customStyle="1" w:styleId="39">
    <w:name w:val="TH Char"/>
    <w:link w:val="38"/>
    <w:qFormat/>
    <w:uiPriority w:val="0"/>
    <w:rPr>
      <w:rFonts w:ascii="Arial" w:hAnsi="Arial" w:eastAsia="宋体"/>
      <w:b/>
      <w:lang w:val="en-GB" w:eastAsia="en-US"/>
    </w:rPr>
  </w:style>
  <w:style w:type="character" w:customStyle="1" w:styleId="40">
    <w:name w:val="TAC Char"/>
    <w:link w:val="37"/>
    <w:qFormat/>
    <w:uiPriority w:val="0"/>
    <w:rPr>
      <w:rFonts w:ascii="Arial" w:hAnsi="Arial" w:eastAsia="宋体"/>
      <w:sz w:val="18"/>
      <w:lang w:val="en-GB" w:eastAsia="en-US"/>
    </w:rPr>
  </w:style>
  <w:style w:type="character" w:customStyle="1" w:styleId="41">
    <w:name w:val="列表段落 字符"/>
    <w:link w:val="35"/>
    <w:qFormat/>
    <w:uiPriority w:val="34"/>
    <w:rPr>
      <w:rFonts w:ascii="等线" w:hAnsi="等线"/>
      <w:kern w:val="2"/>
      <w:sz w:val="21"/>
      <w:szCs w:val="22"/>
    </w:rPr>
  </w:style>
  <w:style w:type="paragraph" w:customStyle="1" w:styleId="42">
    <w:name w:val="TAH"/>
    <w:basedOn w:val="37"/>
    <w:link w:val="43"/>
    <w:qFormat/>
    <w:uiPriority w:val="0"/>
    <w:rPr>
      <w:rFonts w:eastAsia="等线"/>
      <w:b/>
    </w:rPr>
  </w:style>
  <w:style w:type="character" w:customStyle="1" w:styleId="43">
    <w:name w:val="TAH Car"/>
    <w:link w:val="42"/>
    <w:qFormat/>
    <w:uiPriority w:val="0"/>
    <w:rPr>
      <w:rFonts w:ascii="Arial" w:hAnsi="Arial"/>
      <w:b/>
      <w:sz w:val="18"/>
      <w:lang w:val="en-GB" w:eastAsia="en-US"/>
    </w:rPr>
  </w:style>
  <w:style w:type="character" w:customStyle="1" w:styleId="44">
    <w:name w:val="标题 1 字符"/>
    <w:basedOn w:val="21"/>
    <w:link w:val="2"/>
    <w:qFormat/>
    <w:uiPriority w:val="0"/>
    <w:rPr>
      <w:rFonts w:ascii="Arial" w:hAnsi="Arial"/>
      <w:b/>
      <w:sz w:val="24"/>
      <w:lang w:val="en-GB" w:eastAsia="en-US"/>
    </w:rPr>
  </w:style>
  <w:style w:type="character" w:customStyle="1" w:styleId="45">
    <w:name w:val="标题 2 字符"/>
    <w:basedOn w:val="21"/>
    <w:link w:val="3"/>
    <w:qFormat/>
    <w:uiPriority w:val="0"/>
    <w:rPr>
      <w:rFonts w:ascii="Arial" w:hAnsi="Arial"/>
      <w:b/>
      <w:sz w:val="24"/>
      <w:lang w:val="en-GB" w:eastAsia="en-US"/>
    </w:rPr>
  </w:style>
  <w:style w:type="character" w:customStyle="1" w:styleId="46">
    <w:name w:val="标题 3 字符"/>
    <w:basedOn w:val="21"/>
    <w:link w:val="4"/>
    <w:qFormat/>
    <w:uiPriority w:val="0"/>
    <w:rPr>
      <w:sz w:val="24"/>
      <w:lang w:val="en-GB" w:eastAsia="en-US"/>
    </w:rPr>
  </w:style>
  <w:style w:type="character" w:customStyle="1" w:styleId="47">
    <w:name w:val="标题 4 字符"/>
    <w:basedOn w:val="21"/>
    <w:link w:val="5"/>
    <w:qFormat/>
    <w:uiPriority w:val="0"/>
    <w:rPr>
      <w:rFonts w:ascii="Arial" w:hAnsi="Arial"/>
      <w:b/>
      <w:lang w:val="en-GB" w:eastAsia="en-US"/>
    </w:rPr>
  </w:style>
  <w:style w:type="character" w:customStyle="1" w:styleId="48">
    <w:name w:val="标题 5 字符"/>
    <w:basedOn w:val="21"/>
    <w:link w:val="6"/>
    <w:qFormat/>
    <w:uiPriority w:val="0"/>
    <w:rPr>
      <w:rFonts w:ascii="Arial" w:hAnsi="Arial"/>
      <w:b/>
      <w:sz w:val="24"/>
      <w:lang w:val="en-GB" w:eastAsia="en-US"/>
    </w:rPr>
  </w:style>
  <w:style w:type="character" w:customStyle="1" w:styleId="49">
    <w:name w:val="标题 6 字符"/>
    <w:basedOn w:val="21"/>
    <w:link w:val="7"/>
    <w:qFormat/>
    <w:uiPriority w:val="0"/>
    <w:rPr>
      <w:rFonts w:ascii="Arial" w:hAnsi="Arial"/>
      <w:b/>
      <w:color w:val="C0C0C0"/>
      <w:sz w:val="24"/>
      <w:lang w:val="en-GB" w:eastAsia="en-US"/>
    </w:rPr>
  </w:style>
  <w:style w:type="character" w:customStyle="1" w:styleId="50">
    <w:name w:val="标题 7 字符"/>
    <w:basedOn w:val="21"/>
    <w:link w:val="8"/>
    <w:qFormat/>
    <w:uiPriority w:val="0"/>
    <w:rPr>
      <w:rFonts w:ascii="Arial" w:hAnsi="Arial"/>
      <w:b/>
      <w:color w:val="0000FF"/>
      <w:lang w:val="en-GB" w:eastAsia="en-US"/>
    </w:rPr>
  </w:style>
  <w:style w:type="character" w:customStyle="1" w:styleId="51">
    <w:name w:val="标题 8 字符"/>
    <w:basedOn w:val="21"/>
    <w:link w:val="9"/>
    <w:qFormat/>
    <w:uiPriority w:val="0"/>
    <w:rPr>
      <w:rFonts w:ascii="Arial" w:hAnsi="Arial"/>
      <w:b/>
      <w:sz w:val="22"/>
      <w:lang w:val="en-GB" w:eastAsia="en-US"/>
    </w:rPr>
  </w:style>
  <w:style w:type="character" w:customStyle="1" w:styleId="52">
    <w:name w:val="标题 9 字符"/>
    <w:basedOn w:val="21"/>
    <w:link w:val="10"/>
    <w:qFormat/>
    <w:uiPriority w:val="0"/>
    <w:rPr>
      <w:rFonts w:ascii="Arial" w:hAnsi="Arial"/>
      <w:b/>
      <w:sz w:val="24"/>
      <w:lang w:val="en-GB" w:eastAsia="en-US"/>
    </w:rPr>
  </w:style>
  <w:style w:type="character" w:customStyle="1" w:styleId="53">
    <w:name w:val="页眉 字符"/>
    <w:basedOn w:val="21"/>
    <w:link w:val="16"/>
    <w:qFormat/>
    <w:uiPriority w:val="0"/>
    <w:rPr>
      <w:lang w:val="en-GB" w:eastAsia="en-US"/>
    </w:rPr>
  </w:style>
  <w:style w:type="character" w:customStyle="1" w:styleId="54">
    <w:name w:val="页脚 字符"/>
    <w:basedOn w:val="21"/>
    <w:link w:val="15"/>
    <w:semiHidden/>
    <w:qFormat/>
    <w:uiPriority w:val="0"/>
    <w:rPr>
      <w:lang w:val="en-GB" w:eastAsia="en-US"/>
    </w:rPr>
  </w:style>
  <w:style w:type="character" w:customStyle="1" w:styleId="55">
    <w:name w:val="正文文本 字符"/>
    <w:basedOn w:val="21"/>
    <w:link w:val="13"/>
    <w:semiHidden/>
    <w:qFormat/>
    <w:uiPriority w:val="0"/>
    <w:rPr>
      <w:rFonts w:ascii="Arial" w:hAnsi="Arial" w:cs="Arial"/>
      <w:color w:val="FF0000"/>
      <w:lang w:val="en-GB" w:eastAsia="en-US"/>
    </w:rPr>
  </w:style>
  <w:style w:type="character" w:customStyle="1" w:styleId="56">
    <w:name w:val="列表段落 字符3"/>
    <w:qFormat/>
    <w:locked/>
    <w:uiPriority w:val="34"/>
    <w:rPr>
      <w:rFonts w:eastAsia="宋体"/>
      <w:lang w:eastAsia="ja-JP"/>
    </w:rPr>
  </w:style>
  <w:style w:type="paragraph" w:customStyle="1" w:styleId="57">
    <w:name w:val="bullet1"/>
    <w:basedOn w:val="1"/>
    <w:link w:val="59"/>
    <w:qFormat/>
    <w:uiPriority w:val="0"/>
    <w:pPr>
      <w:numPr>
        <w:ilvl w:val="0"/>
        <w:numId w:val="5"/>
      </w:numPr>
      <w:spacing w:line="259" w:lineRule="auto"/>
      <w:jc w:val="both"/>
    </w:pPr>
    <w:rPr>
      <w:rFonts w:ascii="Times" w:hAnsi="Times" w:eastAsia="Batang"/>
      <w:sz w:val="22"/>
      <w:szCs w:val="24"/>
      <w:lang w:val="en-US"/>
    </w:rPr>
  </w:style>
  <w:style w:type="paragraph" w:customStyle="1" w:styleId="58">
    <w:name w:val="bullet2"/>
    <w:basedOn w:val="1"/>
    <w:link w:val="62"/>
    <w:qFormat/>
    <w:uiPriority w:val="99"/>
    <w:pPr>
      <w:numPr>
        <w:ilvl w:val="1"/>
        <w:numId w:val="5"/>
      </w:numPr>
      <w:spacing w:line="259" w:lineRule="auto"/>
      <w:jc w:val="both"/>
    </w:pPr>
    <w:rPr>
      <w:rFonts w:eastAsia="Batang"/>
      <w:sz w:val="22"/>
      <w:szCs w:val="24"/>
      <w:lang w:val="en-US"/>
    </w:rPr>
  </w:style>
  <w:style w:type="character" w:customStyle="1" w:styleId="59">
    <w:name w:val="bullet1 Char"/>
    <w:link w:val="57"/>
    <w:qFormat/>
    <w:uiPriority w:val="0"/>
    <w:rPr>
      <w:rFonts w:ascii="Times" w:hAnsi="Times" w:eastAsia="Batang"/>
      <w:sz w:val="22"/>
      <w:szCs w:val="24"/>
      <w:lang w:eastAsia="en-US"/>
    </w:rPr>
  </w:style>
  <w:style w:type="paragraph" w:customStyle="1" w:styleId="60">
    <w:name w:val="bullet3"/>
    <w:basedOn w:val="1"/>
    <w:qFormat/>
    <w:uiPriority w:val="99"/>
    <w:pPr>
      <w:numPr>
        <w:ilvl w:val="2"/>
        <w:numId w:val="5"/>
      </w:numPr>
      <w:spacing w:line="259" w:lineRule="auto"/>
      <w:ind w:hanging="180"/>
    </w:pPr>
    <w:rPr>
      <w:rFonts w:ascii="Times" w:hAnsi="Times" w:eastAsia="Batang"/>
      <w:szCs w:val="24"/>
    </w:rPr>
  </w:style>
  <w:style w:type="paragraph" w:customStyle="1" w:styleId="61">
    <w:name w:val="bullet4"/>
    <w:basedOn w:val="1"/>
    <w:qFormat/>
    <w:uiPriority w:val="99"/>
    <w:pPr>
      <w:numPr>
        <w:ilvl w:val="3"/>
        <w:numId w:val="5"/>
      </w:numPr>
      <w:spacing w:line="259" w:lineRule="auto"/>
    </w:pPr>
    <w:rPr>
      <w:rFonts w:ascii="Times" w:hAnsi="Times" w:eastAsia="Batang"/>
      <w:szCs w:val="24"/>
    </w:rPr>
  </w:style>
  <w:style w:type="character" w:customStyle="1" w:styleId="62">
    <w:name w:val="bullet2 Char"/>
    <w:link w:val="58"/>
    <w:qFormat/>
    <w:uiPriority w:val="99"/>
    <w:rPr>
      <w:rFonts w:eastAsia="Batang"/>
      <w:sz w:val="22"/>
      <w:szCs w:val="24"/>
      <w:lang w:eastAsia="en-US"/>
    </w:rPr>
  </w:style>
  <w:style w:type="character" w:styleId="63">
    <w:name w:val="Placeholder Text"/>
    <w:basedOn w:val="21"/>
    <w:semiHidden/>
    <w:qFormat/>
    <w:uiPriority w:val="99"/>
    <w:rPr>
      <w:color w:val="808080"/>
    </w:rPr>
  </w:style>
  <w:style w:type="paragraph" w:customStyle="1" w:styleId="64">
    <w:name w:val="proposal"/>
    <w:basedOn w:val="1"/>
    <w:qFormat/>
    <w:uiPriority w:val="0"/>
    <w:pPr>
      <w:numPr>
        <w:ilvl w:val="0"/>
        <w:numId w:val="6"/>
      </w:numPr>
    </w:pPr>
  </w:style>
  <w:style w:type="table" w:customStyle="1" w:styleId="65">
    <w:name w:val="网格型1"/>
    <w:basedOn w:val="19"/>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
    <w:name w:val="列表段落 字符1"/>
    <w:qFormat/>
    <w:locked/>
    <w:uiPriority w:val="34"/>
    <w:rPr>
      <w:rFonts w:ascii="Calibri" w:hAnsi="Calibri"/>
      <w:kern w:val="2"/>
      <w:sz w:val="21"/>
      <w:szCs w:val="22"/>
    </w:rPr>
  </w:style>
  <w:style w:type="paragraph" w:customStyle="1" w:styleId="67">
    <w:name w:val="修订1"/>
    <w:hidden/>
    <w:unhideWhenUsed/>
    <w:qFormat/>
    <w:uiPriority w:val="99"/>
    <w:rPr>
      <w:rFonts w:ascii="Times New Roman" w:hAnsi="Times New Roman" w:eastAsia="等线" w:cs="Times New Roman"/>
      <w:lang w:val="en-GB" w:eastAsia="en-US" w:bidi="ar-SA"/>
    </w:rPr>
  </w:style>
  <w:style w:type="character" w:customStyle="1" w:styleId="68">
    <w:name w:val="题注 字符"/>
    <w:basedOn w:val="21"/>
    <w:link w:val="11"/>
    <w:qFormat/>
    <w:uiPriority w:val="0"/>
    <w:rPr>
      <w:rFonts w:eastAsia="宋体"/>
      <w:b/>
      <w:bCs/>
      <w:lang w:eastAsia="en-US"/>
    </w:rPr>
  </w:style>
  <w:style w:type="table" w:customStyle="1" w:styleId="69">
    <w:name w:val="Table Grid9"/>
    <w:basedOn w:val="19"/>
    <w:qFormat/>
    <w:uiPriority w:val="39"/>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0">
    <w:name w:val="pf0"/>
    <w:basedOn w:val="1"/>
    <w:uiPriority w:val="0"/>
    <w:pPr>
      <w:widowControl w:val="0"/>
      <w:spacing w:before="100" w:beforeAutospacing="1" w:after="100" w:afterAutospacing="1"/>
      <w:jc w:val="both"/>
    </w:pPr>
    <w:rPr>
      <w:rFonts w:eastAsiaTheme="minorEastAsia"/>
      <w:kern w:val="2"/>
      <w:sz w:val="24"/>
      <w:szCs w:val="24"/>
      <w:lang w:val="en-US"/>
      <w14:ligatures w14:val="standardContextual"/>
    </w:rPr>
  </w:style>
  <w:style w:type="character" w:customStyle="1" w:styleId="71">
    <w:name w:val="ui-provider"/>
    <w:basedOn w:val="21"/>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CMCC</Company>
  <Pages>14</Pages>
  <Words>4234</Words>
  <Characters>24137</Characters>
  <Lines>201</Lines>
  <Paragraphs>56</Paragraphs>
  <TotalTime>1</TotalTime>
  <ScaleCrop>false</ScaleCrop>
  <LinksUpToDate>false</LinksUpToDate>
  <CharactersWithSpaces>28315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2023-09-26T08:59:00Z</dcterms:created>
  <dc:creator>CMCC</dc:creator>
  <cp:lastModifiedBy>cmcc</cp:lastModifiedBy>
  <cp:lastPrinted>2002-04-23T01:10:00Z</cp:lastPrinted>
  <dcterms:modified xsi:type="dcterms:W3CDTF">2023-09-28T01:34:25Z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9A1982903B184B8488068386FB6C15D3</vt:lpwstr>
  </property>
</Properties>
</file>